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71" w:rsidRDefault="007934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B1171" w:rsidRDefault="009B1171">
      <w:pPr>
        <w:rPr>
          <w:rFonts w:ascii="Times New Roman" w:hAnsi="Times New Roman" w:cs="Times New Roman"/>
          <w:sz w:val="28"/>
          <w:szCs w:val="28"/>
        </w:rPr>
      </w:pPr>
    </w:p>
    <w:p w:rsidR="009B1171" w:rsidRDefault="009B1171">
      <w:pPr>
        <w:rPr>
          <w:rFonts w:ascii="Times New Roman" w:hAnsi="Times New Roman" w:cs="Times New Roman"/>
          <w:sz w:val="28"/>
          <w:szCs w:val="28"/>
        </w:rPr>
      </w:pPr>
    </w:p>
    <w:p w:rsidR="009B1171" w:rsidRDefault="007934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ПРАВИТЕЛЬСТВО РОССИЙСКОЙ ФЕДЕРАЦИИ</w:t>
      </w:r>
    </w:p>
    <w:p w:rsidR="009B1171" w:rsidRDefault="007934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9B1171" w:rsidRDefault="00793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 _______</w:t>
      </w:r>
    </w:p>
    <w:p w:rsidR="009B1171" w:rsidRDefault="007934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</w:p>
    <w:p w:rsidR="009B1171" w:rsidRDefault="009B1171">
      <w:pPr>
        <w:rPr>
          <w:rFonts w:ascii="Times New Roman" w:hAnsi="Times New Roman" w:cs="Times New Roman"/>
          <w:sz w:val="28"/>
          <w:szCs w:val="28"/>
        </w:rPr>
      </w:pPr>
    </w:p>
    <w:p w:rsidR="0081691D" w:rsidRDefault="0081691D">
      <w:pPr>
        <w:rPr>
          <w:rFonts w:ascii="Times New Roman" w:hAnsi="Times New Roman" w:cs="Times New Roman"/>
          <w:sz w:val="28"/>
          <w:szCs w:val="28"/>
        </w:rPr>
      </w:pP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1 статьи 111 Федерального закона «О контрактной системе в сфере закупок товаров, работ, услуг для обеспечения государственных и муниципальных нужд» и подпунктом «а» пункта 2 постановления Правительства Российской Федерации от 10 марта 2022 г. № 339 «О случаях осуществления закупок товаров, работ, услуг для государственных                              и (или) муниципальных нужд у единственного поставщика (подрядчика, исполнителя) и порядке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осуществления» Правительство Российской Федерации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D783F" w:rsidRDefault="009D783F" w:rsidP="009D783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 акционерное общество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единственным исполнителем осуществляемых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его территориальными органами          и находящимися в его ведении федеральными государственными бюджетными учреждениями в 2026 - 2028 годах закупок работ по геологическому изучению недр в рамках государственной программы Российской Федерации «Воспроизводство и использование природных ресурсов», утвержденной постановлением Правительства Российской Федерации от 15 апреля 2014 г. № 322 «Об утверждении государственной программы Российской Федерации «Воспроизводство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природных ресурсов», в том числе федерального проекта «Геология: возрождение легенды» и комплекса процессных мероприятий «Государственное геологическое изучение недр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обеспечение эффективной реализации государственных функций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 перечню согласно приложению. </w:t>
      </w: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Определить 31 декабря 2028 года предельным сроком, на который заключаются государственные контракты (контракты) на закупку работ, указанных в пункте 1 настоящего распоряжения (далее - государственные контракты). </w:t>
      </w: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Установить, что акционерное общество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вправе привлекать к исполнению государственных контрактов субподрядчиков, соисполнителей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условии исполнения обществом не менее 3 процентов совокупного стоимостного объема обязательств по государственным контрактам лично. </w:t>
      </w: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 заключении государственных контрактов предусмотреть следующие существенные условия:</w:t>
      </w: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установление авансовых платежей в размере 90 процентов суммы государственных контрактов, но не более лимитов бюджетных обязательств, доведенных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на указанные цели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2026-2028 финансовые годы; </w:t>
      </w:r>
      <w:proofErr w:type="gramEnd"/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требования о казначейском сопровождении авансовых платежей по государственным контрактам и контрактам (договорам) </w:t>
      </w:r>
      <w:r>
        <w:rPr>
          <w:rFonts w:ascii="Times New Roman" w:hAnsi="Times New Roman" w:cs="Times New Roman"/>
          <w:sz w:val="28"/>
          <w:szCs w:val="28"/>
        </w:rPr>
        <w:br/>
        <w:t>на выполнение работ, заключаемым акционерным обществом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 xml:space="preserve">с субподрядчиками, соисполнителями в рамках исполнения государственных контрактов. </w:t>
      </w:r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Казначейству России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порядке обеспечить казначейское сопровождение авансовых платежей по государственным контрактам и контрактам (договорам) на выполнение работ, заключаемым акционерным обществом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 xml:space="preserve">с субподрядчиками, соисполнителями в рамках исполнения государственных контрактов. </w:t>
      </w:r>
      <w:proofErr w:type="gramEnd"/>
    </w:p>
    <w:p w:rsidR="009D783F" w:rsidRDefault="009D783F" w:rsidP="009D78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Установить, что при заключении государственных контрактов требования о предоставлении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обеспечения исполнения государственных контрактов не предусматриваются. </w:t>
      </w:r>
    </w:p>
    <w:p w:rsidR="009B1171" w:rsidRDefault="009B1171" w:rsidP="006F0F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171" w:rsidRDefault="00793400" w:rsidP="006F0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:rsidR="009B1171" w:rsidRDefault="006F0FB5" w:rsidP="006F0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400">
        <w:rPr>
          <w:rFonts w:ascii="Times New Roman" w:hAnsi="Times New Roman" w:cs="Times New Roman"/>
          <w:sz w:val="28"/>
          <w:szCs w:val="28"/>
        </w:rPr>
        <w:t xml:space="preserve">   Российской Федерации                       </w:t>
      </w:r>
      <w:r w:rsidR="008169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34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3400">
        <w:rPr>
          <w:rFonts w:ascii="Times New Roman" w:hAnsi="Times New Roman" w:cs="Times New Roman"/>
          <w:sz w:val="28"/>
          <w:szCs w:val="28"/>
        </w:rPr>
        <w:t xml:space="preserve">  </w:t>
      </w:r>
      <w:r w:rsidR="00CC6865">
        <w:rPr>
          <w:rFonts w:ascii="Times New Roman" w:hAnsi="Times New Roman" w:cs="Times New Roman"/>
          <w:sz w:val="28"/>
          <w:szCs w:val="28"/>
        </w:rPr>
        <w:t xml:space="preserve"> </w:t>
      </w:r>
      <w:r w:rsidR="00793400">
        <w:rPr>
          <w:rFonts w:ascii="Times New Roman" w:hAnsi="Times New Roman" w:cs="Times New Roman"/>
          <w:sz w:val="28"/>
          <w:szCs w:val="28"/>
        </w:rPr>
        <w:t>М.</w:t>
      </w:r>
      <w:r w:rsidR="00CC6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400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</w:p>
    <w:p w:rsidR="009B1171" w:rsidRDefault="00793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B1171" w:rsidRDefault="00793400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1171" w:rsidRDefault="00793400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Правительства Российской Федерации </w:t>
      </w:r>
    </w:p>
    <w:p w:rsidR="009B1171" w:rsidRDefault="00793400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2026 г. №</w:t>
      </w:r>
      <w:r w:rsidR="0081691D">
        <w:rPr>
          <w:rFonts w:ascii="Times New Roman" w:hAnsi="Times New Roman" w:cs="Times New Roman"/>
          <w:sz w:val="28"/>
          <w:szCs w:val="28"/>
        </w:rPr>
        <w:t>__________</w:t>
      </w:r>
    </w:p>
    <w:p w:rsidR="009B1171" w:rsidRDefault="009B11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171" w:rsidRDefault="009B11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171" w:rsidRDefault="009B11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171" w:rsidRDefault="0079340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 Р Е Ч Е Н Ь</w:t>
      </w:r>
    </w:p>
    <w:p w:rsidR="009B1171" w:rsidRDefault="00793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по геологическому изучению недр</w:t>
      </w:r>
    </w:p>
    <w:p w:rsidR="009B1171" w:rsidRDefault="00793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Российской Федерации</w:t>
      </w:r>
    </w:p>
    <w:p w:rsidR="009B1171" w:rsidRDefault="008169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3400">
        <w:rPr>
          <w:rFonts w:ascii="Times New Roman" w:hAnsi="Times New Roman" w:cs="Times New Roman"/>
          <w:sz w:val="28"/>
          <w:szCs w:val="28"/>
        </w:rPr>
        <w:t>Воспроизводство и использование природных ресурсов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400">
        <w:rPr>
          <w:rFonts w:ascii="Times New Roman" w:hAnsi="Times New Roman" w:cs="Times New Roman"/>
          <w:sz w:val="28"/>
          <w:szCs w:val="28"/>
        </w:rPr>
        <w:t xml:space="preserve">, в том числе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3400">
        <w:rPr>
          <w:rFonts w:ascii="Times New Roman" w:hAnsi="Times New Roman" w:cs="Times New Roman"/>
          <w:sz w:val="28"/>
          <w:szCs w:val="28"/>
        </w:rPr>
        <w:t>Геология: возрождение легенды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400">
        <w:rPr>
          <w:rFonts w:ascii="Times New Roman" w:hAnsi="Times New Roman" w:cs="Times New Roman"/>
          <w:sz w:val="28"/>
          <w:szCs w:val="28"/>
        </w:rPr>
        <w:t>, комплекса</w:t>
      </w:r>
    </w:p>
    <w:p w:rsidR="009B1171" w:rsidRDefault="00793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процессных мероприятий </w:t>
      </w:r>
      <w:r w:rsidR="008169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Государственное геологическое изучение</w:t>
      </w:r>
    </w:p>
    <w:p w:rsidR="009B1171" w:rsidRDefault="00793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недр и обеспечение эффективной реализации государственных функций</w:t>
      </w:r>
    </w:p>
    <w:p w:rsidR="009B1171" w:rsidRDefault="00793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="0081691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Комплексные региональные геолого-геофизические работы на площади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Сюнгюденская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Саха (Якутия) </w:t>
      </w:r>
      <w:proofErr w:type="gramEnd"/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Комплексные региональные геолого-геофизические работы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Анадырском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бассейне Берингова моря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Региональные комплексные геолого-геофизические работы в пределах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Дьяковско-Ерусланского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 Прикаспийской впадины (Саратовская область) 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Региональные комплексные геолого-геофизические работы на севере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Муромцевско-Седельниковской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 (Омская область) 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Региональные сейсморазведочные работы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юго-восточном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Притиманье</w:t>
      </w:r>
      <w:proofErr w:type="spellEnd"/>
    </w:p>
    <w:p w:rsidR="009B1171" w:rsidRDefault="00793400" w:rsidP="009C1346">
      <w:pPr>
        <w:autoSpaceDE w:val="0"/>
        <w:autoSpaceDN w:val="0"/>
        <w:adjustRightInd w:val="0"/>
        <w:spacing w:after="20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9C1346" w:rsidRPr="009C1346">
        <w:rPr>
          <w:rFonts w:ascii="Times New Roman" w:hAnsi="Times New Roman" w:cs="Times New Roman"/>
          <w:sz w:val="28"/>
          <w:szCs w:val="28"/>
        </w:rPr>
        <w:t xml:space="preserve">Региональные геолого-геофизические работы в </w:t>
      </w:r>
      <w:proofErr w:type="spellStart"/>
      <w:r w:rsidR="009C1346" w:rsidRPr="009C1346">
        <w:rPr>
          <w:rFonts w:ascii="Times New Roman" w:hAnsi="Times New Roman" w:cs="Times New Roman"/>
          <w:sz w:val="28"/>
          <w:szCs w:val="28"/>
        </w:rPr>
        <w:t>Приенисейской</w:t>
      </w:r>
      <w:proofErr w:type="spellEnd"/>
      <w:r w:rsidR="009C1346" w:rsidRPr="009C1346">
        <w:rPr>
          <w:rFonts w:ascii="Times New Roman" w:hAnsi="Times New Roman" w:cs="Times New Roman"/>
          <w:sz w:val="28"/>
          <w:szCs w:val="28"/>
        </w:rPr>
        <w:t xml:space="preserve"> зоне Север, этап 1 (</w:t>
      </w:r>
      <w:proofErr w:type="spellStart"/>
      <w:r w:rsidR="009C1346" w:rsidRPr="009C1346">
        <w:rPr>
          <w:rFonts w:ascii="Times New Roman" w:hAnsi="Times New Roman" w:cs="Times New Roman"/>
          <w:sz w:val="28"/>
          <w:szCs w:val="28"/>
        </w:rPr>
        <w:t>Западно-Сибирская</w:t>
      </w:r>
      <w:proofErr w:type="spellEnd"/>
      <w:r w:rsidR="009C1346" w:rsidRPr="009C1346">
        <w:rPr>
          <w:rFonts w:ascii="Times New Roman" w:hAnsi="Times New Roman" w:cs="Times New Roman"/>
          <w:sz w:val="28"/>
          <w:szCs w:val="28"/>
        </w:rPr>
        <w:t xml:space="preserve"> нефтегазоносная провинция)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Выполнение комплексной аэрогеофизической (аэромагнитной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аэрогамма-спектрометрической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 съемки масштаба 1:100 000 на листах N-51-I, VII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Мокла-Колбочинская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площадь)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Выполнение комплексной аэрогеофизической (аэромагнитной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аэрогамма-спектрометрической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 съемки масштаба 1:100 000 на листах N-50-VI, XII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Джемку-Олекминская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площадь)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ab/>
        <w:t>Выполнение картосоставительских работ в пределах листа K-38-XVIII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Избербашская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площадь)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Выполнение картосоставительских работ в пределах листа К-36-VI (вал Андрусова)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Выполнение картосоставительских работ в пределах листа L-37-XV (Приморско-Ахтарск)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Выполнение картосоставительских работ в пределах листа L-37-XXI (Тимашевск)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Подготовка материалов оценки изученности и геологического обоснования проведения ГДП-200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акваториальным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частям листов L-36-XVIII, XXIII, L-37-VIII, XIII, XIV(Северо-Азовская площадь)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Подготовка материалов оценки изученности и геологического обоснования проведения ГДП-200 листа K-38-XI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Хасавюртская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площадь)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Подготовка материалов для выполнения обязательств перед Международным органом по морскому дну (МОМД) в соответствии с контрактом на разведку глубоководных полиметаллических сульфидов (ГПС)</w:t>
      </w:r>
    </w:p>
    <w:p w:rsidR="009B1171" w:rsidRDefault="00793400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 xml:space="preserve">Геологическая подготовка материалов с целью выполнения обязательств перед Международным органом по морскому дну (МОМД) в соответствии с контрактом на разведку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кобальтоносных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железомарганцевых корок (КМК)</w:t>
      </w:r>
    </w:p>
    <w:p w:rsidR="009B1171" w:rsidRDefault="009B1171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9B1171" w:rsidRDefault="00793400">
      <w:p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t>___________</w:t>
      </w:r>
    </w:p>
    <w:sectPr w:rsidR="009B1171" w:rsidSect="0081691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F2" w:rsidRDefault="00BB2EF2">
      <w:pPr>
        <w:spacing w:after="0" w:line="240" w:lineRule="auto"/>
      </w:pPr>
      <w:r>
        <w:separator/>
      </w:r>
    </w:p>
  </w:endnote>
  <w:endnote w:type="continuationSeparator" w:id="0">
    <w:p w:rsidR="00BB2EF2" w:rsidRDefault="00BB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F2" w:rsidRDefault="00BB2EF2">
      <w:pPr>
        <w:spacing w:after="0" w:line="240" w:lineRule="auto"/>
      </w:pPr>
      <w:r>
        <w:separator/>
      </w:r>
    </w:p>
  </w:footnote>
  <w:footnote w:type="continuationSeparator" w:id="0">
    <w:p w:rsidR="00BB2EF2" w:rsidRDefault="00BB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171"/>
    <w:rsid w:val="001175CC"/>
    <w:rsid w:val="005516AF"/>
    <w:rsid w:val="006D0181"/>
    <w:rsid w:val="006F0FB5"/>
    <w:rsid w:val="007549F0"/>
    <w:rsid w:val="00793400"/>
    <w:rsid w:val="0081691D"/>
    <w:rsid w:val="008251DA"/>
    <w:rsid w:val="008B3E46"/>
    <w:rsid w:val="008F15A8"/>
    <w:rsid w:val="009B1171"/>
    <w:rsid w:val="009C1346"/>
    <w:rsid w:val="009D783F"/>
    <w:rsid w:val="00BB2EF2"/>
    <w:rsid w:val="00CC6865"/>
    <w:rsid w:val="00E60D47"/>
    <w:rsid w:val="00E679C2"/>
    <w:rsid w:val="00E9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rsid w:val="009B1171"/>
  </w:style>
  <w:style w:type="character" w:customStyle="1" w:styleId="FooterChar">
    <w:name w:val="Footer Char"/>
    <w:basedOn w:val="a0"/>
    <w:uiPriority w:val="99"/>
    <w:rsid w:val="009B1171"/>
  </w:style>
  <w:style w:type="character" w:customStyle="1" w:styleId="CaptionChar">
    <w:name w:val="Caption Char"/>
    <w:basedOn w:val="a0"/>
    <w:uiPriority w:val="35"/>
    <w:rsid w:val="009B1171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9B1171"/>
    <w:rPr>
      <w:sz w:val="18"/>
    </w:rPr>
  </w:style>
  <w:style w:type="character" w:customStyle="1" w:styleId="EndnoteTextChar">
    <w:name w:val="Endnote Text Char"/>
    <w:uiPriority w:val="99"/>
    <w:rsid w:val="009B117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B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9B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9B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9B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9B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9B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9B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9B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9B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rsid w:val="009B11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B11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B11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B11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B11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B11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B11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B11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B117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B1171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9B117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B1171"/>
    <w:rPr>
      <w:sz w:val="24"/>
      <w:szCs w:val="24"/>
    </w:rPr>
  </w:style>
  <w:style w:type="character" w:customStyle="1" w:styleId="QuoteChar">
    <w:name w:val="Quote Char"/>
    <w:uiPriority w:val="29"/>
    <w:rsid w:val="009B1171"/>
    <w:rPr>
      <w:i/>
    </w:rPr>
  </w:style>
  <w:style w:type="character" w:customStyle="1" w:styleId="IntenseQuoteChar">
    <w:name w:val="Intense Quote Char"/>
    <w:uiPriority w:val="30"/>
    <w:rsid w:val="009B1171"/>
    <w:rPr>
      <w:i/>
    </w:rPr>
  </w:style>
  <w:style w:type="paragraph" w:customStyle="1" w:styleId="10">
    <w:name w:val="Верхний колонтитул1"/>
    <w:basedOn w:val="a"/>
    <w:link w:val="a4"/>
    <w:uiPriority w:val="99"/>
    <w:unhideWhenUsed/>
    <w:rsid w:val="009B11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0"/>
    <w:uiPriority w:val="99"/>
    <w:rsid w:val="009B1171"/>
  </w:style>
  <w:style w:type="paragraph" w:customStyle="1" w:styleId="12">
    <w:name w:val="Нижний колонтитул1"/>
    <w:basedOn w:val="a"/>
    <w:link w:val="a5"/>
    <w:uiPriority w:val="99"/>
    <w:unhideWhenUsed/>
    <w:rsid w:val="009B11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2"/>
    <w:uiPriority w:val="99"/>
    <w:rsid w:val="009B1171"/>
  </w:style>
  <w:style w:type="paragraph" w:customStyle="1" w:styleId="13">
    <w:name w:val="Название объекта1"/>
    <w:basedOn w:val="a"/>
    <w:next w:val="a"/>
    <w:link w:val="a6"/>
    <w:uiPriority w:val="35"/>
    <w:semiHidden/>
    <w:unhideWhenUsed/>
    <w:qFormat/>
    <w:rsid w:val="009B117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3"/>
    <w:uiPriority w:val="35"/>
    <w:rsid w:val="009B1171"/>
    <w:rPr>
      <w:b/>
      <w:bCs/>
      <w:color w:val="4472C4" w:themeColor="accent1"/>
      <w:sz w:val="18"/>
      <w:szCs w:val="18"/>
    </w:rPr>
  </w:style>
  <w:style w:type="table" w:styleId="a7">
    <w:name w:val="Table Grid"/>
    <w:basedOn w:val="a1"/>
    <w:uiPriority w:val="59"/>
    <w:rsid w:val="009B11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B11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11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1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117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1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sid w:val="009B1171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9B117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9B1171"/>
    <w:rPr>
      <w:sz w:val="18"/>
    </w:rPr>
  </w:style>
  <w:style w:type="character" w:styleId="ab">
    <w:name w:val="footnote reference"/>
    <w:basedOn w:val="a0"/>
    <w:uiPriority w:val="99"/>
    <w:unhideWhenUsed/>
    <w:rsid w:val="009B117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B117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9B1171"/>
    <w:rPr>
      <w:sz w:val="20"/>
    </w:rPr>
  </w:style>
  <w:style w:type="character" w:styleId="ae">
    <w:name w:val="endnote reference"/>
    <w:basedOn w:val="a0"/>
    <w:uiPriority w:val="99"/>
    <w:semiHidden/>
    <w:unhideWhenUsed/>
    <w:rsid w:val="009B117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B1171"/>
    <w:pPr>
      <w:spacing w:after="57"/>
    </w:pPr>
  </w:style>
  <w:style w:type="paragraph" w:styleId="20">
    <w:name w:val="toc 2"/>
    <w:basedOn w:val="a"/>
    <w:next w:val="a"/>
    <w:uiPriority w:val="39"/>
    <w:unhideWhenUsed/>
    <w:rsid w:val="009B117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B117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B117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B117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B117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B117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B117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B1171"/>
    <w:pPr>
      <w:spacing w:after="57"/>
      <w:ind w:left="2268"/>
    </w:pPr>
  </w:style>
  <w:style w:type="paragraph" w:styleId="af">
    <w:name w:val="TOC Heading"/>
    <w:uiPriority w:val="39"/>
    <w:unhideWhenUsed/>
    <w:rsid w:val="009B1171"/>
  </w:style>
  <w:style w:type="paragraph" w:styleId="af0">
    <w:name w:val="table of figures"/>
    <w:basedOn w:val="a"/>
    <w:next w:val="a"/>
    <w:uiPriority w:val="99"/>
    <w:unhideWhenUsed/>
    <w:rsid w:val="009B1171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9B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semiHidden/>
    <w:rsid w:val="009B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rsid w:val="009B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41"/>
    <w:uiPriority w:val="9"/>
    <w:semiHidden/>
    <w:rsid w:val="009B117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link w:val="51"/>
    <w:uiPriority w:val="9"/>
    <w:semiHidden/>
    <w:rsid w:val="009B117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link w:val="61"/>
    <w:uiPriority w:val="9"/>
    <w:semiHidden/>
    <w:rsid w:val="009B117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71"/>
    <w:uiPriority w:val="9"/>
    <w:semiHidden/>
    <w:rsid w:val="009B117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81"/>
    <w:uiPriority w:val="9"/>
    <w:semiHidden/>
    <w:rsid w:val="009B117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91"/>
    <w:uiPriority w:val="9"/>
    <w:semiHidden/>
    <w:rsid w:val="009B1171"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rsid w:val="009B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9B117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9B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9B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9B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B1171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rsid w:val="009B1171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9B1171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9B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9B1171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sid w:val="009B117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B1171"/>
    <w:pPr>
      <w:widowControl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Bubenov</dc:creator>
  <cp:keywords/>
  <dc:description/>
  <cp:lastModifiedBy>solynin</cp:lastModifiedBy>
  <cp:revision>20</cp:revision>
  <dcterms:created xsi:type="dcterms:W3CDTF">2025-12-17T13:51:00Z</dcterms:created>
  <dcterms:modified xsi:type="dcterms:W3CDTF">2026-03-27T15:15:00Z</dcterms:modified>
</cp:coreProperties>
</file>