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6E3" w:rsidRPr="00F556E3" w:rsidRDefault="00F556E3" w:rsidP="00F556E3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 w:bidi="ru-RU"/>
        </w:rPr>
      </w:pPr>
      <w:r w:rsidRPr="00F556E3">
        <w:rPr>
          <w:rFonts w:ascii="PT Astra Serif" w:eastAsia="Times New Roman" w:hAnsi="PT Astra Serif" w:cs="Times New Roman"/>
          <w:b/>
          <w:bCs/>
          <w:sz w:val="28"/>
          <w:szCs w:val="28"/>
          <w:lang w:eastAsia="ru-RU" w:bidi="ru-RU"/>
        </w:rPr>
        <w:t>ПОЯСНИТЕЛЬНАЯ ЗАПИСКА</w:t>
      </w:r>
    </w:p>
    <w:p w:rsidR="00F556E3" w:rsidRPr="00F556E3" w:rsidRDefault="00F556E3" w:rsidP="00F556E3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 w:bidi="ru-RU"/>
        </w:rPr>
      </w:pPr>
      <w:proofErr w:type="gramStart"/>
      <w:r w:rsidRPr="00F556E3">
        <w:rPr>
          <w:rFonts w:ascii="PT Astra Serif" w:eastAsia="Times New Roman" w:hAnsi="PT Astra Serif" w:cs="Times New Roman"/>
          <w:b/>
          <w:bCs/>
          <w:sz w:val="28"/>
          <w:szCs w:val="28"/>
          <w:lang w:eastAsia="ru-RU" w:bidi="ru-RU"/>
        </w:rPr>
        <w:t>к</w:t>
      </w:r>
      <w:proofErr w:type="gramEnd"/>
      <w:r w:rsidRPr="00F556E3">
        <w:rPr>
          <w:rFonts w:ascii="PT Astra Serif" w:eastAsia="Times New Roman" w:hAnsi="PT Astra Serif" w:cs="Times New Roman"/>
          <w:b/>
          <w:bCs/>
          <w:sz w:val="28"/>
          <w:szCs w:val="28"/>
          <w:lang w:eastAsia="ru-RU" w:bidi="ru-RU"/>
        </w:rPr>
        <w:t xml:space="preserve"> проекту указа Президента Российской Федерации «О внесении изменения в Положение о Министерстве внутренних дел Российской Федерации, утвержденное Указом Президента Российской Федерации </w:t>
      </w:r>
      <w:r w:rsidRPr="00F556E3">
        <w:rPr>
          <w:rFonts w:ascii="PT Astra Serif" w:eastAsia="Times New Roman" w:hAnsi="PT Astra Serif" w:cs="Times New Roman"/>
          <w:b/>
          <w:bCs/>
          <w:sz w:val="28"/>
          <w:szCs w:val="28"/>
          <w:lang w:eastAsia="ru-RU" w:bidi="ru-RU"/>
        </w:rPr>
        <w:br/>
        <w:t>от 21 декабря 2016 г. № 699»</w:t>
      </w:r>
    </w:p>
    <w:p w:rsidR="00F556E3" w:rsidRPr="00F556E3" w:rsidRDefault="00F556E3" w:rsidP="00F556E3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 w:bidi="ru-RU"/>
        </w:rPr>
      </w:pPr>
    </w:p>
    <w:p w:rsidR="00F556E3" w:rsidRPr="00F556E3" w:rsidRDefault="00F556E3" w:rsidP="00F556E3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</w:pPr>
      <w:r w:rsidRPr="00F556E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>Проект указа Президента Российской Федерации «О внесении изменения в Положение о Министерстве внутренних дел Российской Федерации, утвержденное Указом Президента Российской Федерации от 21 декабря 2016 г. № 699»</w:t>
      </w:r>
      <w:r>
        <w:rPr>
          <w:rStyle w:val="a5"/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footnoteReference w:id="1"/>
      </w:r>
      <w:r w:rsidRPr="00F556E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 xml:space="preserve"> разработан во исполнение пункта 1 плана-графика подготовки нормативных правовых актов, необходимых для реализации норм Федерального закона от 8 марта 2026 г. № 55-ФЗ «О внесении изменений в статьи 2 и 3 Закона Российской Федерации «О праве граждан Российской Федерации на свободу передвижения, выбор места пребывания и жительства в пределах Российской Федерации»</w:t>
      </w:r>
      <w:r w:rsidRPr="00F556E3">
        <w:rPr>
          <w:rFonts w:ascii="PT Astra Serif" w:eastAsia="Times New Roman" w:hAnsi="PT Astra Serif" w:cs="Times New Roman"/>
          <w:color w:val="000000" w:themeColor="text1"/>
          <w:sz w:val="28"/>
          <w:szCs w:val="28"/>
          <w:vertAlign w:val="superscript"/>
          <w:lang w:eastAsia="ru-RU" w:bidi="ru-RU"/>
        </w:rPr>
        <w:footnoteReference w:id="2"/>
      </w:r>
      <w:r w:rsidRPr="00F556E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F556E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 xml:space="preserve">утвержденного Заместителем Председателя Правительства Российской Федерации Голиковой Т.А. 17 марта 2026 г. № </w:t>
      </w:r>
      <w:r w:rsidRPr="00F556E3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 w:bidi="ru-RU"/>
        </w:rPr>
        <w:t>ТГ-П4-8637</w:t>
      </w:r>
      <w:r w:rsidRPr="00F556E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>.</w:t>
      </w:r>
    </w:p>
    <w:p w:rsidR="00F556E3" w:rsidRPr="00F556E3" w:rsidRDefault="00F556E3" w:rsidP="00F556E3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</w:pPr>
      <w:r w:rsidRPr="00F556E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 xml:space="preserve">Федеральным законом № 55-ФЗ предусматривается в том числе переименование базового государственного информационного ресурса регистрационного учета граждан Российской Федерации по месту пребывания </w:t>
      </w:r>
      <w:r w:rsidRPr="00F556E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br/>
        <w:t>и по месту жительства в пределах Российской Федерации</w:t>
      </w:r>
      <w:r>
        <w:rPr>
          <w:rStyle w:val="a5"/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footnoteReference w:id="3"/>
      </w:r>
      <w:r w:rsidRPr="00F556E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 xml:space="preserve"> в государственный информационный ресурс регистрационного учета граждан Российской Федерации по месту пребывания и по месту жительства в пределах Российской Федерации.</w:t>
      </w:r>
    </w:p>
    <w:p w:rsidR="00F556E3" w:rsidRPr="00F556E3" w:rsidRDefault="00F556E3" w:rsidP="00F556E3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</w:pPr>
      <w:r w:rsidRPr="00F556E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 xml:space="preserve">В этой связи проектом указа предлагается внести корреспондирующее изменение в Положение о Министерстве внутренних дел Российской Федерации, утвержденное Указом Президента Российской Федерации </w:t>
      </w:r>
      <w:r w:rsidRPr="00F556E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br/>
        <w:t>от 21 декабря 2016 г. № 699, в части изменения наименования информационного ресурса.</w:t>
      </w:r>
    </w:p>
    <w:p w:rsidR="00F556E3" w:rsidRPr="00F556E3" w:rsidRDefault="00F556E3" w:rsidP="00F556E3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 w:bidi="ru-RU"/>
        </w:rPr>
      </w:pPr>
      <w:r w:rsidRPr="00F556E3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Реализация проекта указа</w:t>
      </w:r>
      <w:r w:rsidRPr="00F556E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F556E3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 xml:space="preserve">будет осуществлена в пределах бюджетных ассигнований, предусмотренных в федеральном бюджете Министерству внутренних дел Российской Федерации, не приведет к увеличению численности существующих или образованию новых структурных подразделений </w:t>
      </w:r>
      <w:r w:rsidRPr="00F556E3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br/>
        <w:t>и не повлечет расходов бюджетов бюджетной системы Российской Федерации.</w:t>
      </w:r>
    </w:p>
    <w:p w:rsidR="00F556E3" w:rsidRPr="00F556E3" w:rsidRDefault="00F556E3" w:rsidP="00F556E3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 w:bidi="ru-RU"/>
        </w:rPr>
      </w:pPr>
      <w:r w:rsidRPr="00F556E3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Проект указа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F556E3" w:rsidRPr="00F556E3" w:rsidRDefault="00F556E3" w:rsidP="00F556E3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 w:bidi="ru-RU"/>
        </w:rPr>
      </w:pPr>
      <w:r w:rsidRPr="00F556E3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Предложенные проектом указа</w:t>
      </w:r>
      <w:r w:rsidRPr="00F556E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F556E3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 xml:space="preserve">изменения не окажут влияние </w:t>
      </w:r>
      <w:r w:rsidRPr="00F556E3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br/>
        <w:t xml:space="preserve">на достижение целей государственных программ Российской Федерации </w:t>
      </w:r>
      <w:r w:rsidRPr="00F556E3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br/>
        <w:t>и не повлекут отрицательных социально-экономических, финансовых и иных последствий, в том числе для субъектов предпринимательской и иной экономической деятельности.</w:t>
      </w:r>
    </w:p>
    <w:p w:rsidR="00F556E3" w:rsidRPr="00F556E3" w:rsidRDefault="00F556E3" w:rsidP="00F556E3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 w:bidi="ru-RU"/>
        </w:rPr>
      </w:pPr>
      <w:r w:rsidRPr="00F556E3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В проекте указа</w:t>
      </w:r>
      <w:r w:rsidRPr="00F556E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F556E3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от</w:t>
      </w:r>
      <w:bookmarkStart w:id="0" w:name="_GoBack"/>
      <w:bookmarkEnd w:id="0"/>
      <w:r w:rsidRPr="00F556E3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 xml:space="preserve">сутствуют требования, которые связаны </w:t>
      </w:r>
      <w:r w:rsidRPr="00F556E3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br/>
      </w:r>
      <w:r w:rsidRPr="00F556E3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lastRenderedPageBreak/>
        <w:t xml:space="preserve">с осуществлением предпринимательской и иной экономической деятельности </w:t>
      </w:r>
      <w:r w:rsidRPr="00F556E3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br/>
        <w:t xml:space="preserve">и оценка соблюдения которых осуществляется в рамках государственного контроля (надзора), муниципального контроля, привлечения </w:t>
      </w:r>
      <w:r w:rsidRPr="00F556E3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br/>
        <w:t xml:space="preserve">к административной ответственности, предоставления лицензий </w:t>
      </w:r>
      <w:r w:rsidRPr="00F556E3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br/>
        <w:t xml:space="preserve">и иных разрешений, аккредитации, оценки соответствия продукции, иных форм оценки и экспертизы (далее - обязательные требования), о соответствующем виде государственного контроля (надзора), виде разрешительной деятельности </w:t>
      </w:r>
      <w:r w:rsidRPr="00F556E3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br/>
        <w:t xml:space="preserve">и предполагаемой ответственности за нарушение обязательных требований </w:t>
      </w:r>
      <w:r w:rsidRPr="00F556E3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br/>
        <w:t>или последствиях их несоблюдения.</w:t>
      </w:r>
    </w:p>
    <w:p w:rsidR="00F556E3" w:rsidRPr="00F556E3" w:rsidRDefault="00F556E3" w:rsidP="00F556E3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 w:bidi="ru-RU"/>
        </w:rPr>
      </w:pPr>
    </w:p>
    <w:p w:rsidR="00F556E3" w:rsidRPr="00F556E3" w:rsidRDefault="00F556E3" w:rsidP="00F556E3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 w:bidi="ru-RU"/>
        </w:rPr>
      </w:pPr>
    </w:p>
    <w:p w:rsidR="00F556E3" w:rsidRPr="00F556E3" w:rsidRDefault="00F556E3" w:rsidP="00F556E3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 w:bidi="ru-RU"/>
        </w:rPr>
      </w:pPr>
      <w:r w:rsidRPr="00F556E3">
        <w:rPr>
          <w:rFonts w:ascii="PT Astra Serif" w:eastAsia="Times New Roman" w:hAnsi="PT Astra Serif" w:cs="Times New Roman"/>
          <w:b/>
          <w:bCs/>
          <w:sz w:val="28"/>
          <w:szCs w:val="28"/>
          <w:lang w:eastAsia="ru-RU" w:bidi="ru-RU"/>
        </w:rPr>
        <w:t>МВД России</w:t>
      </w:r>
    </w:p>
    <w:p w:rsidR="006F5085" w:rsidRPr="00F556E3" w:rsidRDefault="006F5085">
      <w:pPr>
        <w:rPr>
          <w:rFonts w:ascii="PT Astra Serif" w:hAnsi="PT Astra Serif"/>
          <w:sz w:val="28"/>
          <w:szCs w:val="28"/>
        </w:rPr>
      </w:pPr>
    </w:p>
    <w:sectPr w:rsidR="006F5085" w:rsidRPr="00F556E3" w:rsidSect="00EF12EC">
      <w:headerReference w:type="default" r:id="rId7"/>
      <w:headerReference w:type="first" r:id="rId8"/>
      <w:footnotePr>
        <w:pos w:val="beneathText"/>
      </w:footnotePr>
      <w:pgSz w:w="11900" w:h="16840"/>
      <w:pgMar w:top="1134" w:right="624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5C4" w:rsidRDefault="009215C4" w:rsidP="00F556E3">
      <w:pPr>
        <w:spacing w:after="0" w:line="240" w:lineRule="auto"/>
      </w:pPr>
      <w:r>
        <w:separator/>
      </w:r>
    </w:p>
  </w:endnote>
  <w:endnote w:type="continuationSeparator" w:id="0">
    <w:p w:rsidR="009215C4" w:rsidRDefault="009215C4" w:rsidP="00F5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5C4" w:rsidRDefault="009215C4" w:rsidP="00F556E3">
      <w:pPr>
        <w:spacing w:after="0" w:line="240" w:lineRule="auto"/>
      </w:pPr>
      <w:r>
        <w:separator/>
      </w:r>
    </w:p>
  </w:footnote>
  <w:footnote w:type="continuationSeparator" w:id="0">
    <w:p w:rsidR="009215C4" w:rsidRDefault="009215C4" w:rsidP="00F556E3">
      <w:pPr>
        <w:spacing w:after="0" w:line="240" w:lineRule="auto"/>
      </w:pPr>
      <w:r>
        <w:continuationSeparator/>
      </w:r>
    </w:p>
  </w:footnote>
  <w:footnote w:id="1">
    <w:p w:rsidR="00F556E3" w:rsidRPr="00F556E3" w:rsidRDefault="00F556E3">
      <w:pPr>
        <w:pStyle w:val="a3"/>
        <w:rPr>
          <w:rFonts w:ascii="PT Astra Serif" w:hAnsi="PT Astra Serif"/>
        </w:rPr>
      </w:pPr>
      <w:r w:rsidRPr="00F556E3">
        <w:rPr>
          <w:rStyle w:val="a5"/>
          <w:rFonts w:ascii="PT Astra Serif" w:hAnsi="PT Astra Serif"/>
        </w:rPr>
        <w:footnoteRef/>
      </w:r>
      <w:r w:rsidRPr="00F556E3">
        <w:rPr>
          <w:rFonts w:ascii="PT Astra Serif" w:hAnsi="PT Astra Serif"/>
        </w:rPr>
        <w:t xml:space="preserve"> Далее – «проект указа».</w:t>
      </w:r>
    </w:p>
  </w:footnote>
  <w:footnote w:id="2">
    <w:p w:rsidR="00F556E3" w:rsidRPr="00F556E3" w:rsidRDefault="00F556E3" w:rsidP="00F556E3">
      <w:pPr>
        <w:pStyle w:val="a3"/>
        <w:rPr>
          <w:rFonts w:ascii="PT Astra Serif" w:hAnsi="PT Astra Serif"/>
        </w:rPr>
      </w:pPr>
      <w:r w:rsidRPr="00F556E3">
        <w:rPr>
          <w:rStyle w:val="a5"/>
          <w:rFonts w:ascii="PT Astra Serif" w:hAnsi="PT Astra Serif"/>
        </w:rPr>
        <w:footnoteRef/>
      </w:r>
      <w:r w:rsidRPr="00F556E3">
        <w:rPr>
          <w:rFonts w:ascii="PT Astra Serif" w:hAnsi="PT Astra Serif"/>
        </w:rPr>
        <w:t xml:space="preserve"> </w:t>
      </w:r>
      <w:r w:rsidRPr="00F556E3">
        <w:rPr>
          <w:rFonts w:ascii="PT Astra Serif" w:hAnsi="PT Astra Serif"/>
        </w:rPr>
        <w:t>Далее – «Федеральный закон № 55-ФЗ».</w:t>
      </w:r>
    </w:p>
  </w:footnote>
  <w:footnote w:id="3">
    <w:p w:rsidR="00F556E3" w:rsidRDefault="00F556E3">
      <w:pPr>
        <w:pStyle w:val="a3"/>
      </w:pPr>
      <w:r w:rsidRPr="00F556E3">
        <w:rPr>
          <w:rStyle w:val="a5"/>
          <w:rFonts w:ascii="PT Astra Serif" w:hAnsi="PT Astra Serif"/>
        </w:rPr>
        <w:footnoteRef/>
      </w:r>
      <w:r w:rsidRPr="00F556E3">
        <w:rPr>
          <w:rFonts w:ascii="PT Astra Serif" w:hAnsi="PT Astra Serif"/>
        </w:rPr>
        <w:t xml:space="preserve"> Далее – «информационный ресурс».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268" w:rsidRDefault="009215C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3D8CED6" wp14:editId="4F83B687">
              <wp:simplePos x="0" y="0"/>
              <wp:positionH relativeFrom="page">
                <wp:posOffset>4097020</wp:posOffset>
              </wp:positionH>
              <wp:positionV relativeFrom="page">
                <wp:posOffset>491490</wp:posOffset>
              </wp:positionV>
              <wp:extent cx="7620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A3268" w:rsidRDefault="009215C4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556E3" w:rsidRPr="00F556E3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8CED6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22.6pt;margin-top:38.7pt;width:6pt;height:9.8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" filled="f" stroked="f">
              <v:textbox style="mso-fit-shape-to-text:t" inset="0,0,0,0">
                <w:txbxContent>
                  <w:p w:rsidR="001A3268" w:rsidRDefault="009215C4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556E3" w:rsidRPr="00F556E3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268" w:rsidRDefault="009215C4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E3"/>
    <w:rsid w:val="006F5085"/>
    <w:rsid w:val="009215C4"/>
    <w:rsid w:val="00F5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42E54-ED0D-4CF2-AD76-F10E5C78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556E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556E3"/>
    <w:rPr>
      <w:sz w:val="20"/>
      <w:szCs w:val="20"/>
    </w:rPr>
  </w:style>
  <w:style w:type="character" w:customStyle="1" w:styleId="2">
    <w:name w:val="Колонтитул (2)_"/>
    <w:basedOn w:val="a0"/>
    <w:link w:val="20"/>
    <w:rsid w:val="00F556E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F556E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556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D1500-CC4E-40C5-AA3A-F1A3EA58D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vbozhukha</dc:creator>
  <cp:keywords/>
  <dc:description/>
  <cp:lastModifiedBy>vbozhukha</cp:lastModifiedBy>
  <cp:revision>1</cp:revision>
  <dcterms:created xsi:type="dcterms:W3CDTF">2026-03-26T08:02:00Z</dcterms:created>
  <dcterms:modified xsi:type="dcterms:W3CDTF">2026-03-26T08:05:00Z</dcterms:modified>
</cp:coreProperties>
</file>