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постановления Правительства Российской Федерации «О внесении изменений в постановление Правительства Российской Федерации от 14 августа 2020 г. № 1220»</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Министерство финансов Российской Федерации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02/07/04-26/00166874</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пункт 32 статьи 4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редакции Федерального закона от 29 декабря 2025 № 575-ФЗ «О внесении изменений в отдельные законодательные акты Российской Федерации» (далее  соответственно – Федеральный закон № 244-ФЗ, Федеральный закон № 575-ФЗ)
пункт 1 плана-графика подготовки нормативных правовых актов, необходимых для реализации норм Федерального закона № 575-ФЗ «О внесении изменений отдельные законодательные акты Российской Федерации», утвержденного Правительством Российской Федерации 28 января 2026 г. № ДГ-П13-2126 (далее – план-график)</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несоответствие отдельных норм постановления Правительства Российской Федерации от 14 августа 2020 г. № 1220 «Об утверждении Правил совершения операций с денежными средствами при организации и проведении азартных игр» (далее – Правила) Федеральному закону № 244-ФЗ в редакции Федерального закона № 575-ФЗ</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Привести Правила в соответствие с Федеральным законом № 244-ФЗ в редакции Федерального закона № 575-ФЗ путем внесения в Правила соответствующих изменений</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Да</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организаторы азартных игр, осуществляющие деятельность на территории игорных зон; организаторы азартных игр в букмекерских конторах или тотализаторах</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30</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Устанавливаемые обязательные требования, не повлекут за собой затраты субъектов регулирования</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Проектируемое регулирование не окажет влияния на бюджеты бюджетной системы Российской Федерации</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При разработке проекта постановления соблюдены принципы и условия установления обязательных требований, закрепленных статьями 4-9 Федерального закона от 31 июля 2020 г. № 247-ФЗ «Об обязательных требованиях в Российской Федерации»</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Новые требования:
операции с денежными средствами при организации и проведении азартных игр в букмекерских конторах и тотализаторах совершаются организатором азартных игр путем приема ставок от участников данных видов азартных игр и выплаты им выигрышей;
операции с денежными средствами при организации и проведении азартных игр в игорном заведении осуществляются в кассах игорного заведения, за исключением приема интерактивных ставок.
Установление иных обязанностей или ограничений, преимуществ для субъектов регулирования, а также отмена требований, иных обязанностей или ограничений для субъектов регулирования проектом постановления
 не предусмотрено.</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Вид отношений, затрагиваемых проектируемым регулированием: отношения, возникающие в области организации и проведения азартных игр.
Охраняемые законом ценности: права и законные интересы организаторов азартных игр</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несоответствие отдельных норм Правил Федеральному закону № 244-ФЗ 
в редакции Федерального закона № 575-ФЗ создает риски нанесения ущерба правам и законным интересам организаторов азартных игр, поскольку  создает проблемы в правоприменительной практике, нарушает принцип системности и последовательности правового регулирования отдельных сфер деятельности.</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Описание проблемы, на решение которой направлен предлагаемый способ регулирования:
Пунктом 1 статьи 2 Федерального закона № 575-ФЗ «О внесении изменений в отдельные законодательные акты Российской Федерации» статья 4 Федерального закона № 244-ФЗ с 1 сентября 2026 г. дополняется пунктом 32, закрепляющим понятие «обменные знаки игорного заведения», определяемым как фишки, жетоны или иные знаки (документы), предназначенные для обращения в казино и залах игровых автоматов по правилам, установленным организатором азартных игр.
В данной связи возникает несоответствие отдельных норм Правил Федеральному закону № 244-ФЗ в редакции Федерального закона № 575-ФЗ 
в части исключения возможности обращения обменных знаков игорного заведения в букмекерских конторах и тотализаторах, а также необходимость более полного раскрытия предмета правового регулирования Правил в части, касающейся совершения операций с денежными средствами при проведении азартных игр в букмекерских конторах и тотализаторах.
Негативные эффекты, возникающие в связи с наличием проблемы:  нанесения ущерба правам и законным интересам организаторов азартных игр, проблемы в правоприменительной практике, нарушение принципа системности и последовательности правового регулирования отдельных сфер деятельности.</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приведение Правил в соответствии с нормами Федерального закона № 244-ФЗ в редакции Федерального закона № 575-ФЗ</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сентября 2026 г.</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Ожидаемый срок достижения цели предлагаемого регулирования соответствует дате вступления в силу Федерального закона № 575-ФЗ</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Проект постановления соответствует принципам правового регулирования деятельности по проведению азартных игр.
Информацией о программных документах Президента Российской Федерации и Правительства Российской Федерации по вопросам, затрагиваемым проектируемым регулированием, разработчик 
не располагает.
</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Правила соответствуют нормам Федерального закона № 244-ФЗ в редакции Федерального закона № 575-ФЗ</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Единицы измерения индикативных показателей неприменимы</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Индикативный показатель
не является расчетным
</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Использование иных способов (методов) оценки достижения заявленной цели регулирования помимо указанного индикативного показателя не планируется</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проектом постановления предлагается изложить пункты 2 и 3 Правил в новой редакции, исключающей возможность обращения обменных знаков игорного заведения в букмекерских конторах и тотализаторах и более полно раскрывающей предмет правового регулирования Правил в части, касающейся совершения операций с денежными средствами при проведении азартных игр в букмекерских конторах и тотализаторах.
Кроме того, учитывая существо регулируемых Правилами правоотношений, проектом постановления предусматривается изложение пункта 4 Правил в новой редакции, предусматривающей сокращение форм безналичных расчетов с использованием, которых могут совершаться операции с денежными средствами при организации и проведении азартных игр в игорных заведениях.
Иные возможные способы решения проблемы: отсутствуют
Альтернативные меры по недопущению причинения вреда (ущерба) охраняемым: отсутствуют.</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принимая во внимание проблему, на решение которой направлено проектируемое регулирование, анализ опыта в рамках Евразийского экономического союза в соответствующих сферах деятельности не проводился, поскольку риски возникновения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при установлении нового регулирования, по оценке разработчика, отсутствуют.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риски решения проблемы предложенным способом регулирования и риски негативных последствий отсутствуют. Предлагаемое регулирование соответствует законодательству Российской Федерации. Представленный способом регулирования направлен на предотвращение возможных нарушений в рассматриваемой сфере. Альтернативных способов регулирования не предусматривается.</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30</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организаторы азартных игр, осуществляющие деятельность на территории игорных зон</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8</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организаторы азартных игр в букмекерских конторах или тотализаторах</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22</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Абзац третий  пункта 1 проекта постановления "О внесении изменения в постановление Правительства Российской Федерации от 14 августа 2020 г. № 1220                   "Операции с денежными средствами при организации и проведении азартных игр в букмекерских конторах и тотализаторах совершаются организатором азартных игр путем приема ставок от участников данных видов азартных игр и выплаты им выигрышей";
Абзац четвертый пункта 1 проекта постановления "О внесении изменения в постановление Правительства Российской Федерации от 14 августа 2020 г. № 1220" "3. Операции с денежными средствами при организации и проведении азартных игр в игорном заведении осуществляются в кассах игорного заведения, за исключением приема интерактивных ставок.".</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организаторы азартных игр в букмекерских конторах или тотализаторах
организаторы азартных игр, осуществляющие деятельность на территории игорных зон, организаторы азартных игр в букмекерских конторах или тотализаторах</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0</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0</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0</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0</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Оценка затрат приведена в приложении № 1</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Проектом постановления новые функции (полномочия) не устанавливаются, существующие функции не изменяются</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 Проектом акта не предусматривается установление новых функций (полномочий) федеральных органов государственной власти или их изменение, изменение порядка реализации существующих функций (полномочий). Основания для снижения доходов или увеличения расходов федерального бюджета отсутствуют.</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 Проектом постановления не предусматривается установление новых функций (полномочий) органов государственной власти субъектов Российской Федерации и органов местного самоуправления или их изменение, изменение порядка реализации существующих функций (полномочий). Основания для снижения доходов или увеличения расходов бюджетов субъектов Российской Федерации и (или) местных бюджетов отсутствуют </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Дополнительные сведения о предлагаемом регулировании, в том числе сведения, которые подтверждают обоснованность предполагаемого регулирования, со ссылками на источники информации и методы расчетов, 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1 сентября 2026 г.</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Проектом постановления
 не предусматривается установление переходного периода
</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Эксперимент не проводился, его проведение не запланировано</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Викарева Екатерина Алексеевна</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консультант</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Департамент финансовой политики</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+7 (495) 983-38-88 доб. 0592</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Ekaterina.Vikareva@minfin.gov.ru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Директор Департамента финансовой политики А.В. Яковлев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