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4819" w:after="0"/>
        <w:jc w:val="center"/>
        <w:rPr>
          <w:b/>
          <w:bCs/>
          <w:color w:val="auto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>О внесении изменений в Порядок расчета показателей ЦАБрт, ЦНСД, ЦДТрт, ТАБм, ТДТм, ЦКЕРрт, а также расчета средних за налоговый период оптовых цен реализации в Российской Федерации автомобильного бензина АИ-92 класса 5 и дизельного топлива класса 5, утвержденный приказом</w:t>
        <w:br/>
        <w:t>ФАС России от 19 сентября 2022 г. № 664/22</w:t>
      </w:r>
    </w:p>
    <w:p>
      <w:pPr>
        <w:pStyle w:val="Normal"/>
        <w:spacing w:lineRule="auto" w:line="240" w:before="0" w:after="0"/>
        <w:jc w:val="center"/>
        <w:rPr>
          <w:b/>
          <w:bCs/>
          <w:color w:val="auto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Web"/>
        <w:bidi w:val="0"/>
        <w:spacing w:lineRule="auto" w:line="360" w:before="0" w:after="0"/>
        <w:ind w:hanging="0" w:start="0" w:end="0"/>
        <w:jc w:val="center"/>
        <w:rPr>
          <w:rFonts w:ascii="Times New Roman" w:hAnsi="Times New Roman"/>
          <w:b/>
          <w:bCs/>
          <w:color w:val="auto"/>
          <w:sz w:val="28"/>
          <w:szCs w:val="28"/>
          <w:shd w:fill="auto" w:val="clear"/>
          <w:lang w:eastAsia="ru-RU"/>
        </w:rPr>
      </w:pPr>
      <w:r>
        <w:rPr>
          <w:b/>
          <w:bCs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Web"/>
        <w:shd w:fill="FFFFFF" w:val="clear"/>
        <w:bidi w:val="0"/>
        <w:spacing w:lineRule="auto" w:line="360" w:before="0" w:after="0"/>
        <w:ind w:firstLine="709" w:start="0" w:end="0"/>
        <w:jc w:val="both"/>
        <w:rPr>
          <w:rFonts w:ascii="Times New Roman" w:hAnsi="Times New Roman"/>
          <w:color w:val="auto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соответствии с абзацем двадцатым пункта 21 и абзац</w:t>
      </w:r>
      <w:r>
        <w:rPr>
          <w:color w:val="000000"/>
          <w:sz w:val="28"/>
          <w:szCs w:val="28"/>
          <w:shd w:fill="auto" w:val="clear"/>
        </w:rPr>
        <w:t xml:space="preserve">ами сороковым и сорок четвертым </w:t>
      </w:r>
      <w:r>
        <w:rPr>
          <w:color w:val="000000"/>
          <w:sz w:val="28"/>
          <w:szCs w:val="28"/>
          <w:shd w:fill="auto" w:val="clear"/>
        </w:rPr>
        <w:t xml:space="preserve">пункта 27 статьи 200 Налогового кодекса Российской Федерации, пунктом 1 Положения о Федеральной антимонопольной службе, утвержденного постановлением Правительства Российской Федерации от 30 июня 2004 г. № 331, </w:t>
      </w:r>
    </w:p>
    <w:p>
      <w:pPr>
        <w:pStyle w:val="NormalWeb"/>
        <w:shd w:fill="FFFFFF" w:val="clear"/>
        <w:bidi w:val="0"/>
        <w:spacing w:lineRule="auto" w:line="360" w:before="0" w:after="0"/>
        <w:ind w:hanging="0" w:start="0" w:end="0"/>
        <w:jc w:val="both"/>
        <w:rPr>
          <w:rFonts w:ascii="Times New Roman" w:hAnsi="Times New Roman"/>
          <w:color w:val="auto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 р и к а з ы в а ю: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1. Внести в Порядок расчета показателей </w:t>
      </w:r>
      <w:r>
        <w:rPr>
          <w:bCs/>
          <w:color w:val="000000"/>
          <w:position w:val="0"/>
          <w:sz w:val="28"/>
          <w:sz w:val="28"/>
          <w:szCs w:val="28"/>
          <w:shd w:fill="auto" w:val="clear"/>
          <w:vertAlign w:val="baseline"/>
        </w:rPr>
        <w:t>Ц</w:t>
      </w:r>
      <w:r>
        <w:rPr>
          <w:bCs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А</w:t>
      </w:r>
      <w:r>
        <w:rPr>
          <w:bCs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Брт</w:t>
      </w:r>
      <w:r>
        <w:rPr>
          <w:bCs/>
          <w:color w:val="000000"/>
          <w:sz w:val="28"/>
          <w:szCs w:val="28"/>
          <w:shd w:fill="auto" w:val="clear"/>
        </w:rPr>
        <w:t>, Ц</w:t>
      </w:r>
      <w:r>
        <w:rPr>
          <w:bCs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НСД</w:t>
      </w:r>
      <w:r>
        <w:rPr>
          <w:bCs/>
          <w:color w:val="000000"/>
          <w:sz w:val="28"/>
          <w:szCs w:val="28"/>
          <w:shd w:fill="auto" w:val="clear"/>
        </w:rPr>
        <w:t>, Ц</w:t>
      </w:r>
      <w:r>
        <w:rPr>
          <w:bCs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ДТрт</w:t>
      </w:r>
      <w:r>
        <w:rPr>
          <w:bCs/>
          <w:color w:val="000000"/>
          <w:sz w:val="28"/>
          <w:szCs w:val="28"/>
          <w:shd w:fill="auto" w:val="clear"/>
        </w:rPr>
        <w:t>, Т</w:t>
      </w:r>
      <w:r>
        <w:rPr>
          <w:bCs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АБм</w:t>
      </w:r>
      <w:r>
        <w:rPr>
          <w:bCs/>
          <w:color w:val="000000"/>
          <w:sz w:val="28"/>
          <w:szCs w:val="28"/>
          <w:shd w:fill="auto" w:val="clear"/>
        </w:rPr>
        <w:t>, Т</w:t>
      </w:r>
      <w:r>
        <w:rPr>
          <w:bCs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ДТм</w:t>
      </w:r>
      <w:r>
        <w:rPr>
          <w:bCs/>
          <w:color w:val="000000"/>
          <w:sz w:val="28"/>
          <w:szCs w:val="28"/>
          <w:shd w:fill="auto" w:val="clear"/>
        </w:rPr>
        <w:t>, Ц</w:t>
      </w:r>
      <w:r>
        <w:rPr>
          <w:bCs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КЕРрт</w:t>
      </w:r>
      <w:r>
        <w:rPr>
          <w:color w:val="000000"/>
          <w:sz w:val="28"/>
          <w:szCs w:val="28"/>
          <w:shd w:fill="auto" w:val="clear"/>
        </w:rPr>
        <w:t>, а</w:t>
      </w:r>
      <w:r>
        <w:rPr>
          <w:color w:val="000000"/>
          <w:sz w:val="28"/>
          <w:szCs w:val="28"/>
          <w:shd w:fill="auto" w:val="clear"/>
        </w:rPr>
        <w:t> </w:t>
      </w:r>
      <w:r>
        <w:rPr>
          <w:color w:val="000000"/>
          <w:sz w:val="28"/>
          <w:szCs w:val="28"/>
          <w:shd w:fill="auto" w:val="clear"/>
        </w:rPr>
        <w:t xml:space="preserve">также расчета средних за налоговый период оптовых цен реализации в Российской Федерации автомобильного бензина АИ-92 класса 5 и дизельного топлива класса 5, утвержденный приказом ФАС России от 19 сентября 2022 г. № 664/22 (зарегистрирован Минюстом России 10 ноября 2022 г., регистрационный № 70898), </w:t>
      </w:r>
      <w:r>
        <w:rPr>
          <w:color w:val="000000"/>
          <w:sz w:val="28"/>
          <w:szCs w:val="28"/>
          <w:shd w:fill="auto" w:val="clear"/>
        </w:rPr>
        <w:t>с изменениями, внесенными приказом ФАС России от 21 декабря 2023 г. № 1025/23 (зарегистрирован Минюстом России 31 января 2024 г.,  регистрационный № 77082)</w:t>
      </w:r>
      <w:r>
        <w:rPr>
          <w:color w:val="000000"/>
          <w:sz w:val="28"/>
          <w:szCs w:val="28"/>
          <w:shd w:fill="auto" w:val="clear"/>
        </w:rPr>
        <w:t xml:space="preserve"> следующие изменения: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1.</w:t>
      </w:r>
      <w:r>
        <w:rPr>
          <w:color w:val="000000"/>
          <w:sz w:val="28"/>
          <w:szCs w:val="28"/>
          <w:shd w:fill="auto" w:val="clear"/>
        </w:rPr>
        <w:t>1.</w:t>
      </w:r>
      <w:r>
        <w:rPr>
          <w:color w:val="000000"/>
          <w:sz w:val="28"/>
          <w:szCs w:val="28"/>
          <w:shd w:fill="auto" w:val="clear"/>
        </w:rPr>
        <w:t> </w:t>
      </w:r>
      <w:r>
        <w:rPr>
          <w:color w:val="000000"/>
          <w:sz w:val="28"/>
          <w:szCs w:val="28"/>
          <w:shd w:fill="auto" w:val="clear"/>
        </w:rPr>
        <w:t>П</w:t>
      </w:r>
      <w:r>
        <w:rPr>
          <w:color w:val="000000"/>
          <w:sz w:val="28"/>
          <w:szCs w:val="28"/>
          <w:shd w:fill="auto" w:val="clear"/>
        </w:rPr>
        <w:t xml:space="preserve">ункт 2 </w:t>
      </w:r>
      <w:r>
        <w:rPr>
          <w:color w:val="000000"/>
          <w:sz w:val="28"/>
          <w:szCs w:val="28"/>
          <w:shd w:fill="auto" w:val="clear"/>
        </w:rPr>
        <w:t>изложить в следующей редакции: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«2.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Средняя за налоговый период цена на автомобильный бензин АИ-92 класса 5 на роттердамском рынке нефтяного сырья в долларах США за 1 тонну (Ц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  <w:vertAlign w:val="subscript"/>
        </w:rPr>
        <w:t>АБрт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) рассчитывается как среднеарифметическое за налоговый период значение котировки Gasoline Eurobob oxy NWE barge, публикуемое 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/>
        </w:rPr>
        <w:t>организатором</w:t>
      </w:r>
      <w:r>
        <w:rPr>
          <w:rFonts w:cs="Times New Roman"/>
          <w:bCs/>
          <w:color w:val="000000"/>
          <w:sz w:val="28"/>
          <w:szCs w:val="28"/>
          <w:shd w:fill="auto" w:val="clear"/>
          <w:lang w:val="ru-RU"/>
        </w:rPr>
        <w:t xml:space="preserve"> исследований товарных рынков</w:t>
      </w:r>
      <w:r>
        <w:rPr>
          <w:rStyle w:val="FootnoteReference"/>
          <w:rFonts w:cs="Times New Roman"/>
          <w:bCs/>
          <w:color w:val="000000"/>
          <w:sz w:val="28"/>
          <w:szCs w:val="28"/>
          <w:shd w:fill="auto" w:val="clear"/>
          <w:lang w:val="ru-RU"/>
        </w:rPr>
        <w:footnoteReference w:customMarkFollows="1" w:id="2"/>
        <w:t>¹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/>
        </w:rPr>
        <w:t xml:space="preserve">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или организатором торговли</w:t>
      </w:r>
      <w:r>
        <w:rPr>
          <w:rStyle w:val="FootnoteReference"/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footnoteReference w:customMarkFollows="1" w:id="3"/>
        <w:t>²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,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и (или) ценовым агентством,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определенными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в соответствии с Федеральным законом от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5 апреля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2013 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г.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№ 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(далее соответственно – 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/>
        </w:rPr>
        <w:t>о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/>
        </w:rPr>
        <w:t xml:space="preserve">рганизатор исследований, 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/>
        </w:rPr>
        <w:t>организатор торговли, ценовое агентство)»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.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rFonts w:ascii="Times New Roman" w:hAnsi="Times New Roman"/>
          <w:color w:val="auto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1.2. В пункте 3: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в абзаце третьем слова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международным ценовым агентством Argus Media</w:t>
        <w:br/>
        <w:t xml:space="preserve">в издании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Argus Freight»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заменить словами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рганизатором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 исследований 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>или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рганизатором торговли,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и (или) ценовым агентством»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;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в абзаце четвертом слова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международным ценовым агентством Argus Media в издании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Argus Нефтетранспорт»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заменить словами «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о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рганизатором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 исследований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или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рганизатором торговли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,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и (или) ценовым агентством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».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1.3. В пункте 4 слова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международным ценовым агентством Argus Media</w:t>
        <w:br/>
        <w:t xml:space="preserve">в издании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Argus Crude»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заменить словами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рганизатором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 исследований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 или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рганизатором торговли,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и (или) ценовым агентством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».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1.4. В пункте 5 слова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международным ценовым агентством Argus Media</w:t>
        <w:br/>
        <w:t xml:space="preserve">в издании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Argus European Products»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заменить словами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рганизатором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 исследований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 или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рганизатором торговли,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и (или) ценовым агентством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».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color w:val="auto"/>
          <w:sz w:val="28"/>
          <w:u w:val="none"/>
          <w:shd w:fill="auto" w:val="clear"/>
        </w:rPr>
      </w:pP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1.5. В пункте 6: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в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 абзаце третьем слова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международным ценовым агентством Argus Media</w:t>
        <w:br/>
        <w:t xml:space="preserve">в издании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Argus Freight»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заменить словами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рганизатором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 исследований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или 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о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рганизатором торговли, 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и (или) ценовым агентством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»;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в абзаце четвертом слова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международным ценовым агентством Argus Media в издании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Argus Нефтетранспорт»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заменить словами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рганизатором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 исследований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 или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рганизатором торговли,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и (или) ценовым агентством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».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1.6. В пункте 7 слова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международным ценовым агентством Argus Media</w:t>
        <w:br/>
        <w:t xml:space="preserve">в издании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Argus European Products»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заменить словами «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rFonts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рганизатором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 xml:space="preserve"> исследований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 или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о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 xml:space="preserve">рганизатором торговли, </w:t>
      </w:r>
      <w:r>
        <w:rPr>
          <w:b w:val="false"/>
          <w:i w:val="false"/>
          <w:strike w:val="false"/>
          <w:dstrike w:val="false"/>
          <w:color w:val="000000"/>
          <w:sz w:val="28"/>
          <w:u w:val="none"/>
          <w:shd w:fill="auto" w:val="clear"/>
        </w:rPr>
        <w:t>и (или) ценовым агентством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».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1.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7. В пункте 10 слова «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(далее – АО «СПбМТСБ»)»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заменить словами «(далее – АО Петербургская Биржа)».</w:t>
      </w:r>
    </w:p>
    <w:p>
      <w:pPr>
        <w:pStyle w:val="Normal"/>
        <w:bidi w:val="0"/>
        <w:spacing w:lineRule="auto" w:line="360" w:before="0" w:after="0"/>
        <w:ind w:firstLine="709" w:start="0" w:end="0"/>
        <w:jc w:val="both"/>
        <w:rPr>
          <w:color w:val="auto"/>
          <w:shd w:fill="auto" w:val="clear"/>
        </w:rPr>
      </w:pP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1.8. В пункте 11 слова «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 xml:space="preserve">АО «СПбМТСБ» </w:t>
      </w:r>
      <w:r>
        <w:rPr>
          <w:b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заменить словами</w:t>
        <w:br/>
        <w:t>«АО Петербургская Биржа».</w:t>
      </w:r>
    </w:p>
    <w:p>
      <w:pPr>
        <w:pStyle w:val="NormalWeb"/>
        <w:bidi w:val="0"/>
        <w:spacing w:lineRule="auto" w:line="360" w:before="0" w:after="0"/>
        <w:ind w:firstLine="709" w:start="0" w:end="0"/>
        <w:jc w:val="both"/>
        <w:rPr>
          <w:rFonts w:ascii="Times New Roman" w:hAnsi="Times New Roman"/>
          <w:color w:val="auto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2. Настоящий приказ вступает в силу по истечении одного месяца со дня его официального опубликования и не ранее 1-го числа очередного налогового периода по акцизам.</w:t>
      </w:r>
    </w:p>
    <w:p>
      <w:pPr>
        <w:pStyle w:val="NormalWeb"/>
        <w:bidi w:val="0"/>
        <w:spacing w:lineRule="auto" w:line="360" w:before="0" w:after="0"/>
        <w:ind w:firstLine="709" w:start="0" w:end="0"/>
        <w:jc w:val="both"/>
        <w:rPr>
          <w:color w:val="auto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jc w:val="start"/>
        <w:rPr>
          <w:color w:val="auto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jc w:val="start"/>
        <w:rPr>
          <w:color w:val="auto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tbl>
      <w:tblPr>
        <w:tblW w:w="9938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05"/>
        <w:gridCol w:w="1744"/>
        <w:gridCol w:w="4389"/>
      </w:tblGrid>
      <w:tr>
        <w:trPr/>
        <w:tc>
          <w:tcPr>
            <w:tcW w:w="3805" w:type="dxa"/>
            <w:tcBorders/>
          </w:tcPr>
          <w:p>
            <w:pPr>
              <w:pStyle w:val="Normal"/>
              <w:rPr>
                <w:color w:val="auto"/>
                <w:sz w:val="28"/>
                <w:szCs w:val="28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fldChar w:fldCharType="begin"/>
            </w:r>
            <w:r>
              <w:rPr>
                <w:sz w:val="28"/>
                <w:shd w:fill="auto" w:val="clear"/>
                <w:szCs w:val="28"/>
                <w:color w:val="000000"/>
              </w:rPr>
              <w:instrText xml:space="preserve"> DOCVARIABLE PredsedatelDolj </w:instrText>
            </w:r>
            <w:r>
              <w:rPr>
                <w:sz w:val="28"/>
                <w:shd w:fill="auto" w:val="clear"/>
                <w:szCs w:val="28"/>
                <w:color w:val="000000"/>
              </w:rPr>
              <w:fldChar w:fldCharType="separate"/>
            </w:r>
            <w:r>
              <w:rPr>
                <w:sz w:val="28"/>
                <w:shd w:fill="auto" w:val="clear"/>
                <w:szCs w:val="28"/>
                <w:color w:val="000000"/>
              </w:rPr>
              <w:t>Руководитель</w:t>
            </w:r>
            <w:r>
              <w:rPr>
                <w:sz w:val="28"/>
                <w:shd w:fill="auto" w:val="clear"/>
                <w:szCs w:val="28"/>
                <w:color w:val="000000"/>
              </w:rPr>
              <w:fldChar w:fldCharType="end"/>
            </w:r>
          </w:p>
        </w:tc>
        <w:tc>
          <w:tcPr>
            <w:tcW w:w="1744" w:type="dxa"/>
            <w:tcBorders/>
          </w:tcPr>
          <w:p>
            <w:pPr>
              <w:pStyle w:val="Normal"/>
              <w:jc w:val="end"/>
              <w:rPr>
                <w:color w:val="auto"/>
                <w:sz w:val="28"/>
                <w:szCs w:val="28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end"/>
              <w:rPr>
                <w:color w:val="auto"/>
                <w:sz w:val="28"/>
                <w:szCs w:val="28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4389" w:type="dxa"/>
            <w:tcBorders/>
          </w:tcPr>
          <w:p>
            <w:pPr>
              <w:pStyle w:val="Normal"/>
              <w:jc w:val="end"/>
              <w:rPr>
                <w:color w:val="auto"/>
                <w:sz w:val="28"/>
                <w:szCs w:val="28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fldChar w:fldCharType="begin"/>
            </w:r>
            <w:r>
              <w:rPr>
                <w:sz w:val="28"/>
                <w:shd w:fill="auto" w:val="clear"/>
                <w:szCs w:val="28"/>
                <w:color w:val="000000"/>
              </w:rPr>
              <w:instrText xml:space="preserve"> DOCVARIABLE PredsedatelIOF </w:instrText>
            </w:r>
            <w:r>
              <w:rPr>
                <w:sz w:val="28"/>
                <w:shd w:fill="auto" w:val="clear"/>
                <w:szCs w:val="28"/>
                <w:color w:val="000000"/>
              </w:rPr>
              <w:fldChar w:fldCharType="separate"/>
            </w:r>
            <w:r>
              <w:rPr>
                <w:sz w:val="28"/>
                <w:shd w:fill="auto" w:val="clear"/>
                <w:szCs w:val="28"/>
                <w:color w:val="000000"/>
              </w:rPr>
              <w:t>М.А. Шаскольский</w:t>
            </w:r>
            <w:r>
              <w:rPr>
                <w:sz w:val="28"/>
                <w:shd w:fill="auto" w:val="clear"/>
                <w:szCs w:val="28"/>
                <w:color w:val="000000"/>
              </w:rPr>
              <w:fldChar w:fldCharType="end"/>
            </w:r>
          </w:p>
        </w:tc>
      </w:tr>
      <w:tr>
        <w:trPr/>
        <w:tc>
          <w:tcPr>
            <w:tcW w:w="3805" w:type="dxa"/>
            <w:tcBorders/>
          </w:tcPr>
          <w:p>
            <w:pPr>
              <w:pStyle w:val="Style20"/>
              <w:rPr>
                <w:color w:val="auto"/>
                <w:sz w:val="28"/>
                <w:szCs w:val="28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1744" w:type="dxa"/>
            <w:tcBorders/>
          </w:tcPr>
          <w:p>
            <w:pPr>
              <w:pStyle w:val="Style20"/>
              <w:rPr>
                <w:color w:val="auto"/>
                <w:sz w:val="28"/>
                <w:szCs w:val="28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4389" w:type="dxa"/>
            <w:tcBorders/>
          </w:tcPr>
          <w:p>
            <w:pPr>
              <w:pStyle w:val="Style20"/>
              <w:rPr>
                <w:color w:val="auto"/>
                <w:sz w:val="28"/>
                <w:szCs w:val="28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color w:val="auto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567" w:gutter="0" w:header="737" w:top="1296" w:footer="801" w:bottom="1360"/>
      <w:pgNumType w:fmt="decimal"/>
      <w:formProt w:val="false"/>
      <w:titlePg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179705" distB="72390" distL="72390" distR="72390" simplePos="0" locked="0" layoutInCell="0" allowOverlap="1" relativeHeight="5">
              <wp:simplePos x="0" y="0"/>
              <wp:positionH relativeFrom="column">
                <wp:posOffset>5080</wp:posOffset>
              </wp:positionH>
              <wp:positionV relativeFrom="paragraph">
                <wp:posOffset>-10160</wp:posOffset>
              </wp:positionV>
              <wp:extent cx="1727835" cy="408940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DOCVARIABLE ProjectNumber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2026-9962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53975" tIns="179705" rIns="179705" bIns="539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05pt;height:32.2pt;mso-wrap-distance-left:5.7pt;mso-wrap-distance-right:5.7pt;mso-wrap-distance-top:14.15pt;mso-wrap-distance-bottom:5.7pt;margin-top:-0.8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19"/>
                      <w:spacing w:before="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2026-9962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20320</wp:posOffset>
          </wp:positionH>
          <wp:positionV relativeFrom="paragraph">
            <wp:posOffset>32385</wp:posOffset>
          </wp:positionV>
          <wp:extent cx="1296035" cy="280670"/>
          <wp:effectExtent l="0" t="0" r="0" b="0"/>
          <wp:wrapTopAndBottom/>
          <wp:docPr id="2" name="SpdBarcod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dBarcod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  <w:r>
      <mc:AlternateContent>
        <mc:Choice Requires="wps">
          <w:drawing>
            <wp:anchor behindDoc="0" distT="179705" distB="72390" distL="72390" distR="72390" simplePos="0" locked="0" layoutInCell="0" allowOverlap="1" relativeHeight="2">
              <wp:simplePos x="0" y="0"/>
              <wp:positionH relativeFrom="column">
                <wp:posOffset>5080</wp:posOffset>
              </wp:positionH>
              <wp:positionV relativeFrom="paragraph">
                <wp:posOffset>138430</wp:posOffset>
              </wp:positionV>
              <wp:extent cx="1727835" cy="40894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spacing w:before="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DOCVARIABLE ProjectNumber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2026-9962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53975" tIns="179705" rIns="179705" bIns="539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05pt;height:32.2pt;mso-wrap-distance-left:5.7pt;mso-wrap-distance-right:5.7pt;mso-wrap-distance-top:14.15pt;mso-wrap-distance-bottom:5.7pt;margin-top:10.9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19"/>
                      <w:spacing w:before="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2026-9962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bidi w:val="0"/>
        <w:spacing w:lineRule="auto" w:line="240" w:before="0" w:after="0"/>
        <w:ind w:hanging="0" w:start="0" w:end="0"/>
        <w:jc w:val="both"/>
        <w:rPr>
          <w:color w:val="auto"/>
          <w:sz w:val="20"/>
          <w:szCs w:val="20"/>
          <w:shd w:fill="auto" w:val="clear"/>
        </w:rPr>
      </w:pPr>
      <w:r>
        <w:rPr>
          <w:rStyle w:val="Style14"/>
        </w:rPr>
        <w:t>¹</w:t>
      </w:r>
      <w:r>
        <w:rPr>
          <w:rFonts w:cs="Times New Roman"/>
          <w:bCs/>
          <w:color w:val="000000"/>
          <w:sz w:val="20"/>
          <w:szCs w:val="20"/>
          <w:shd w:fill="auto" w:val="clear"/>
          <w:lang w:val="ru-RU"/>
        </w:rPr>
        <w:t> </w:t>
      </w:r>
      <w:r>
        <w:rPr>
          <w:rFonts w:cs="Times New Roman"/>
          <w:bCs/>
          <w:color w:val="000000"/>
          <w:sz w:val="20"/>
          <w:szCs w:val="20"/>
          <w:shd w:fill="auto" w:val="clear"/>
          <w:lang w:val="ru-RU"/>
        </w:rPr>
        <w:t>Федеральн</w:t>
      </w:r>
      <w:r>
        <w:rPr>
          <w:rFonts w:cs="Times New Roman"/>
          <w:bCs/>
          <w:color w:val="000000"/>
          <w:sz w:val="20"/>
          <w:szCs w:val="20"/>
          <w:shd w:fill="auto" w:val="clear"/>
          <w:lang w:val="ru-RU"/>
        </w:rPr>
        <w:t>ы</w:t>
      </w:r>
      <w:r>
        <w:rPr>
          <w:rFonts w:cs="Times New Roman"/>
          <w:bCs/>
          <w:color w:val="000000"/>
          <w:sz w:val="20"/>
          <w:szCs w:val="20"/>
          <w:shd w:fill="auto" w:val="clear"/>
          <w:lang w:val="ru-RU"/>
        </w:rPr>
        <w:t>й</w:t>
      </w:r>
      <w:r>
        <w:rPr>
          <w:rFonts w:cs="Times New Roman"/>
          <w:bCs/>
          <w:color w:val="000000"/>
          <w:sz w:val="20"/>
          <w:szCs w:val="20"/>
          <w:shd w:fill="auto" w:val="clear"/>
          <w:lang w:val="ru-RU"/>
        </w:rPr>
        <w:t xml:space="preserve"> закон от 28 </w:t>
      </w:r>
      <w:r>
        <w:rPr>
          <w:rFonts w:cs="Times New Roman"/>
          <w:bCs/>
          <w:color w:val="000000"/>
          <w:sz w:val="20"/>
          <w:szCs w:val="20"/>
          <w:shd w:fill="auto" w:val="clear"/>
          <w:lang w:val="ru-RU"/>
        </w:rPr>
        <w:t xml:space="preserve">декабря </w:t>
      </w:r>
      <w:r>
        <w:rPr>
          <w:rFonts w:cs="Times New Roman"/>
          <w:bCs/>
          <w:color w:val="000000"/>
          <w:sz w:val="20"/>
          <w:szCs w:val="20"/>
          <w:shd w:fill="auto" w:val="clear"/>
          <w:lang w:val="ru-RU"/>
        </w:rPr>
        <w:t>2009 </w:t>
      </w:r>
      <w:r>
        <w:rPr>
          <w:rFonts w:cs="Times New Roman"/>
          <w:bCs/>
          <w:color w:val="000000"/>
          <w:sz w:val="20"/>
          <w:szCs w:val="20"/>
          <w:shd w:fill="auto" w:val="clear"/>
          <w:lang w:val="ru-RU"/>
        </w:rPr>
        <w:t xml:space="preserve">г. </w:t>
      </w:r>
      <w:r>
        <w:rPr>
          <w:rFonts w:cs="Times New Roman"/>
          <w:bCs/>
          <w:color w:val="000000"/>
          <w:sz w:val="20"/>
          <w:szCs w:val="20"/>
          <w:shd w:fill="auto" w:val="clear"/>
          <w:lang w:val="ru-RU"/>
        </w:rPr>
        <w:t>№ 381-ФЗ «Об основах государственного регулирования торговой деятельности в Российской Федерации».</w:t>
      </w:r>
    </w:p>
  </w:footnote>
  <w:footnote w:id="3">
    <w:p>
      <w:pPr>
        <w:pStyle w:val="Normal"/>
        <w:bidi w:val="0"/>
        <w:spacing w:lineRule="auto" w:line="240" w:before="0" w:after="0"/>
        <w:ind w:hanging="0" w:start="0" w:end="0"/>
        <w:jc w:val="both"/>
        <w:rPr>
          <w:sz w:val="20"/>
          <w:szCs w:val="20"/>
          <w:shd w:fill="auto" w:val="clear"/>
        </w:rPr>
      </w:pPr>
      <w:r>
        <w:rPr>
          <w:rStyle w:val="Style14"/>
        </w:rPr>
        <w:t>²</w:t>
      </w:r>
      <w:r>
        <w:rPr>
          <w:b w:val="false"/>
          <w:i w:val="false"/>
          <w:strike w:val="false"/>
          <w:dstrike w:val="false"/>
          <w:sz w:val="20"/>
          <w:szCs w:val="20"/>
          <w:u w:val="none"/>
          <w:shd w:fill="auto" w:val="clear"/>
        </w:rPr>
        <w:t> </w:t>
      </w:r>
      <w:r>
        <w:rPr>
          <w:b w:val="false"/>
          <w:i w:val="false"/>
          <w:strike w:val="false"/>
          <w:dstrike w:val="false"/>
          <w:sz w:val="20"/>
          <w:szCs w:val="20"/>
          <w:u w:val="none"/>
          <w:shd w:fill="auto" w:val="clear"/>
        </w:rPr>
        <w:t>Федеральны</w:t>
      </w:r>
      <w:r>
        <w:rPr>
          <w:b w:val="false"/>
          <w:i w:val="false"/>
          <w:strike w:val="false"/>
          <w:dstrike w:val="false"/>
          <w:sz w:val="20"/>
          <w:szCs w:val="20"/>
          <w:u w:val="none"/>
          <w:shd w:fill="auto" w:val="clear"/>
        </w:rPr>
        <w:t>й</w:t>
      </w:r>
      <w:r>
        <w:rPr>
          <w:b w:val="false"/>
          <w:i w:val="false"/>
          <w:strike w:val="false"/>
          <w:dstrike w:val="false"/>
          <w:sz w:val="20"/>
          <w:szCs w:val="20"/>
          <w:u w:val="none"/>
          <w:shd w:fill="auto" w:val="clear"/>
        </w:rPr>
        <w:t xml:space="preserve"> закон от 21 ноября 2011 г. № 325-ФЗ «Об организованных торгах».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docVars>
    <w:docVar w:name="ProjectNumber" w:val="2026-9962"/>
    <w:docVar w:name="Annotation" w:val="О внесении изменений в Порядок расчета показателей ЦАБрт, ЦНСД, ЦДТрт, ТАБм, ТДТм, ЦКЕРрт, а также расчета средних за налоговый период оптовых цен реализации в Российской Федерации автомобильного бензина АИ-92 класса 5 и дизельного топлива класса 5, утвержденный приказом ФАС России от 19 сентября 2022 г. № 664/22"/>
    <w:docVar w:name="PredsedatelIOF" w:val="М.А. Шаскольский"/>
    <w:docVar w:name="PredsedatelDolj" w:val="Руководитель"/>
    <w:docVar w:name="Name" w:val="О внесении изменений в Порядок расчета показателей ЦАБрт, ЦНСД, ЦДТрт, ТАБм, ТДТм, ЦКЕРрт, а также расчета средних за налоговый период оптовых цен реализации в Российской Федерации автомобильного бензина АИ-92 класса 5 и дизельного топлива класса 5, утвержденный приказом ФАС России от 19 сентября 2022 г. № 664/22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Style14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>
    <w:name w:val="Символ концевой сноск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>
    <w:name w:val="Содержимое врезки"/>
    <w:basedOn w:val="BodyText"/>
    <w:qFormat/>
    <w:pPr/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100" w:after="119"/>
    </w:pPr>
    <w:rPr>
      <w:sz w:val="24"/>
      <w:szCs w:val="24"/>
      <w:lang w:eastAsia="ru-RU"/>
    </w:rPr>
  </w:style>
  <w:style w:type="paragraph" w:styleId="Header">
    <w:name w:val="Header"/>
    <w:basedOn w:val="Style18"/>
    <w:pPr>
      <w:suppressLineNumbers/>
      <w:tabs>
        <w:tab w:val="clear" w:pos="4819"/>
        <w:tab w:val="clear" w:pos="9638"/>
        <w:tab w:val="center" w:pos="4961" w:leader="none"/>
        <w:tab w:val="right" w:pos="9922" w:leader="none"/>
      </w:tabs>
    </w:pPr>
    <w:rPr/>
  </w:style>
  <w:style w:type="paragraph" w:styleId="Style21">
    <w:name w:val="Верхний колонтитул слева"/>
    <w:basedOn w:val="Header"/>
    <w:qFormat/>
    <w:pPr>
      <w:suppressLineNumbers/>
    </w:pPr>
    <w:rPr/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FootnoteText">
    <w:name w:val="Footnote Text"/>
    <w:basedOn w:val="Normal"/>
    <w:pPr>
      <w:suppressLineNumbers/>
      <w:ind w:hanging="340" w:start="34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530</TotalTime>
  <Application>LibreOffice/7.6.4.1$Windows_X86_64 LibreOffice_project/e19e193f88cd6c0525a17fb7a176ed8e6a3e2aa1</Application>
  <AppVersion>15.0000</AppVersion>
  <Pages>3</Pages>
  <Words>542</Words>
  <Characters>3423</Characters>
  <CharactersWithSpaces>3943</CharactersWithSpaces>
  <Paragraphs>26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2026-02-11T14:28:00Z</dcterms:created>
  <dc:creator/>
  <dc:description/>
  <dc:language>ru-RU</dc:language>
  <cp:lastModifiedBy/>
  <cp:lastPrinted>2026-02-24T11:52:50Z</cp:lastPrinted>
  <dcterms:modified xsi:type="dcterms:W3CDTF">2026-03-16T15:54:14Z</dcterms:modified>
  <cp:revision>43</cp:revision>
  <dc:subject/>
  <dc:title>Приказ ФАС России от 19.09.2022 N 664/22(ред. от 21.12.2023)"Об утверждении Порядка расчета показателей ЦАБрт, ЦНСД, ЦДТрт, ТАБм, ТДТм, ЦКЕРрт, а также расчета средних за налоговый период оптовых цен реализации в Российской Федерации автомобильного бензина АИ-92 класса 5 и дизельного топлива класса 5"(Зарегистрировано в Минюсте России 10.11.2022 N 70898)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ContentHash">
    <vt:lpwstr>O9/voUcyFZTtSe2nG73Plg==</vt:lpwstr>
  </property>
  <property fmtid="{D5CDD505-2E9C-101B-9397-08002B2CF9AE}" pid="3" name="PreviousContentHash">
    <vt:lpwstr>uGzGx7TWqs9Zm17l9t0i6g==</vt:lpwstr>
  </property>
</Properties>
</file>