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ПРАВИТЕЛЬСТВО РОССИЙСКОЙ ФЕДЕРАЦИИ</w:t>
      </w:r>
      <w:r>
        <w:rPr>
          <w:b/>
          <w:color w:val="000000" w:themeColor="text1"/>
          <w:sz w:val="32"/>
          <w:szCs w:val="32"/>
        </w:rPr>
      </w:r>
      <w:r>
        <w:rPr>
          <w:b/>
          <w:color w:val="000000" w:themeColor="text1"/>
          <w:sz w:val="32"/>
          <w:szCs w:val="32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П О С Т А Н О В Л Е Н И 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от "____" __________________ 202</w:t>
      </w:r>
      <w:r>
        <w:rPr>
          <w:color w:val="000000" w:themeColor="text1"/>
          <w:lang w:val="ru-RU"/>
        </w:rPr>
        <w:t xml:space="preserve">6</w:t>
      </w:r>
      <w:r>
        <w:rPr>
          <w:color w:val="000000" w:themeColor="text1"/>
        </w:rPr>
        <w:t xml:space="preserve"> г. № 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МОСКВА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 внесении изменений в постановление Правительства 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Российской Федерац</w:t>
      </w:r>
      <w:r>
        <w:rPr>
          <w:b/>
          <w:color w:val="000000" w:themeColor="text1"/>
        </w:rPr>
        <w:t xml:space="preserve">ии от 30 декабря 2017 г. № 1710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Правительство Российской Федерации </w:t>
      </w:r>
      <w:r>
        <w:rPr>
          <w:b/>
          <w:color w:val="000000" w:themeColor="text1"/>
        </w:rPr>
        <w:t xml:space="preserve">п о с </w:t>
      </w:r>
      <w:r>
        <w:rPr>
          <w:b/>
          <w:color w:val="000000" w:themeColor="text1"/>
        </w:rPr>
        <w:t xml:space="preserve">т</w:t>
      </w:r>
      <w:r>
        <w:rPr>
          <w:b/>
          <w:color w:val="000000" w:themeColor="text1"/>
        </w:rPr>
        <w:t xml:space="preserve"> а н о в л я е т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567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  Утвердить прилагаемые изменения, которые </w:t>
      </w:r>
      <w:r>
        <w:rPr>
          <w:color w:val="000000" w:themeColor="text1"/>
        </w:rPr>
        <w:t xml:space="preserve">вносятся в государственную программу Российской Федерации "Обеспечение доступным и комфортным жильем и коммунальными услугами граждан Российской Федерации", утвержденную постановлением Правительства Российской Федерации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от 30 декабря 2017 г.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</w:rPr>
        <w:t xml:space="preserve"> 1710 "Об утверждении государственной программы Российской Федерации "Обеспечение доступным и комфортным жильем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и коммунальными услугами граждан Российской Федерации" </w:t>
        <w:br/>
      </w:r>
      <w:r>
        <w:rPr>
          <w:color w:val="000000" w:themeColor="text1"/>
        </w:rPr>
        <w:t xml:space="preserve">(Собрание законодательства Российской Федерации, 2018, № 3, ст.</w:t>
      </w:r>
      <w:r>
        <w:rPr>
          <w:color w:val="000000" w:themeColor="text1"/>
        </w:rPr>
        <w:t xml:space="preserve"> 546, </w:t>
      </w:r>
      <w:r>
        <w:rPr>
          <w:color w:val="000000" w:themeColor="text1"/>
        </w:rPr>
        <w:t xml:space="preserve">2019, </w:t>
        <w:br/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</w:rPr>
        <w:t xml:space="preserve"> 5, ст. 404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2020,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  <w:lang w:val="ru-RU"/>
        </w:rPr>
        <w:t xml:space="preserve"> 2, ст. 201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2020,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  <w:lang w:val="ru-RU"/>
        </w:rPr>
        <w:t xml:space="preserve"> 16, ст. 2582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2020,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  <w:lang w:val="ru-RU"/>
        </w:rPr>
        <w:t xml:space="preserve"> 46, ст. 7287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2021,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  <w:lang w:val="ru-RU"/>
        </w:rPr>
        <w:t xml:space="preserve"> 22, ст. 3856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2022, </w:t>
      </w:r>
      <w:r>
        <w:rPr>
          <w:color w:val="000000" w:themeColor="text1"/>
          <w:lang w:val="ru-RU"/>
        </w:rPr>
        <w:t xml:space="preserve">№ 50</w:t>
      </w:r>
      <w:r>
        <w:rPr>
          <w:color w:val="000000" w:themeColor="text1"/>
          <w:lang w:val="ru-RU"/>
        </w:rPr>
        <w:t xml:space="preserve">, ст. 8920</w:t>
      </w:r>
      <w:r>
        <w:rPr>
          <w:color w:val="000000" w:themeColor="text1"/>
          <w:lang w:val="ru-RU"/>
        </w:rPr>
        <w:t xml:space="preserve">, 2022, №</w:t>
      </w:r>
      <w:r>
        <w:rPr>
          <w:color w:val="000000" w:themeColor="text1"/>
          <w:lang w:val="ru-RU"/>
        </w:rPr>
        <w:t xml:space="preserve"> 51, ст. 9233</w:t>
      </w:r>
      <w:r>
        <w:rPr>
          <w:color w:val="000000" w:themeColor="text1"/>
          <w:lang w:val="ru-RU"/>
        </w:rPr>
        <w:t xml:space="preserve">, 2023, № 7, ст. 1136, </w:t>
      </w:r>
      <w:r>
        <w:rPr>
          <w:color w:val="000000" w:themeColor="text1"/>
          <w:lang w:val="ru-RU"/>
        </w:rPr>
        <w:t xml:space="preserve">2023,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  <w:lang w:val="ru-RU"/>
        </w:rPr>
        <w:t xml:space="preserve"> 44, </w:t>
      </w:r>
      <w:r>
        <w:rPr>
          <w:color w:val="000000" w:themeColor="text1"/>
          <w:lang w:val="ru-RU"/>
        </w:rPr>
        <w:t xml:space="preserve">ст. 7892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2024, </w:t>
      </w:r>
      <w:r>
        <w:rPr>
          <w:color w:val="000000" w:themeColor="text1"/>
          <w:lang w:val="ru-RU"/>
        </w:rPr>
        <w:t xml:space="preserve">№ 33</w:t>
      </w:r>
      <w:r>
        <w:rPr>
          <w:color w:val="000000" w:themeColor="text1"/>
          <w:lang w:val="ru-RU"/>
        </w:rPr>
        <w:t xml:space="preserve">, ст. 5170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t xml:space="preserve">2024, № 51, ст. 8022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2025, </w:t>
      </w:r>
      <w:r>
        <w:rPr>
          <w:color w:val="000000" w:themeColor="text1"/>
          <w:lang w:val="ru-RU"/>
        </w:rPr>
        <w:t xml:space="preserve">№ 48</w:t>
      </w:r>
      <w:r>
        <w:rPr>
          <w:color w:val="000000" w:themeColor="text1"/>
          <w:lang w:val="ru-RU"/>
        </w:rPr>
        <w:t xml:space="preserve">, ст. 7349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2025, </w:t>
      </w:r>
      <w:r>
        <w:rPr>
          <w:color w:val="000000" w:themeColor="text1"/>
          <w:lang w:val="ru-RU"/>
        </w:rPr>
        <w:t xml:space="preserve">№ 52</w:t>
      </w:r>
      <w:r>
        <w:rPr>
          <w:color w:val="000000" w:themeColor="text1"/>
          <w:lang w:val="ru-RU"/>
        </w:rPr>
        <w:t xml:space="preserve">, ст. 8577</w:t>
      </w:r>
      <w:r>
        <w:rPr>
          <w:color w:val="000000" w:themeColor="text1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tabs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Председатель Правительства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Российской Федерации                                                                          </w:t>
      </w:r>
      <w:r>
        <w:rPr>
          <w:color w:val="000000" w:themeColor="text1"/>
        </w:rPr>
        <w:t xml:space="preserve">М.Мишустин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760" w:firstLine="720"/>
        <w:jc w:val="right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5760" w:firstLine="720"/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5760" w:firstLine="720"/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5760" w:firstLine="720"/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5760" w:firstLine="720"/>
        <w:jc w:val="right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проект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left="5760" w:firstLine="72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670"/>
        <w:jc w:val="center"/>
        <w:rPr>
          <w:color w:val="000000" w:themeColor="text1"/>
        </w:rPr>
      </w:pPr>
      <w:r>
        <w:rPr>
          <w:color w:val="000000" w:themeColor="text1"/>
        </w:rPr>
        <w:t xml:space="preserve">утверждены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670"/>
        <w:jc w:val="center"/>
        <w:rPr>
          <w:color w:val="000000" w:themeColor="text1"/>
        </w:rPr>
      </w:pPr>
      <w:r>
        <w:rPr>
          <w:color w:val="000000" w:themeColor="text1"/>
        </w:rPr>
        <w:t xml:space="preserve">постановлением Правительства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670"/>
        <w:jc w:val="center"/>
        <w:rPr>
          <w:color w:val="000000" w:themeColor="text1"/>
        </w:rPr>
      </w:pPr>
      <w:r>
        <w:rPr>
          <w:color w:val="000000" w:themeColor="text1"/>
        </w:rPr>
        <w:t xml:space="preserve">Российской Федерации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670"/>
        <w:jc w:val="center"/>
        <w:rPr>
          <w:color w:val="000000" w:themeColor="text1"/>
        </w:rPr>
      </w:pPr>
      <w:r>
        <w:rPr>
          <w:color w:val="000000" w:themeColor="text1"/>
        </w:rPr>
        <w:t xml:space="preserve">от ___ __________ 202</w:t>
      </w:r>
      <w:r>
        <w:rPr>
          <w:color w:val="000000" w:themeColor="text1"/>
          <w:lang w:val="ru-RU"/>
        </w:rPr>
        <w:t xml:space="preserve">6</w:t>
      </w:r>
      <w:r>
        <w:rPr>
          <w:color w:val="000000" w:themeColor="text1"/>
        </w:rPr>
        <w:t xml:space="preserve"> г. № 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120"/>
        <w:widowControl w:val="off"/>
        <w:rPr>
          <w:color w:val="000000" w:themeColor="text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 w:themeColor="text1"/>
        </w:rPr>
        <w:t xml:space="preserve">И З М Е Н Е Н И Я,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480"/>
        <w:widowControl w:val="off"/>
        <w:rPr>
          <w:color w:val="000000" w:themeColor="text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 w:themeColor="text1"/>
        </w:rPr>
        <w:t xml:space="preserve">которые вносятся в государственную программ</w:t>
      </w:r>
      <w:r>
        <w:rPr>
          <w:b/>
          <w:color w:val="000000" w:themeColor="text1"/>
          <w:lang w:val="ru-RU"/>
        </w:rPr>
        <w:t xml:space="preserve">у </w:t>
      </w:r>
      <w:r>
        <w:rPr>
          <w:b/>
          <w:color w:val="000000" w:themeColor="text1"/>
        </w:rPr>
        <w:t xml:space="preserve">Российской Федерации "Обеспечение доступным</w:t>
      </w:r>
      <w:r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 xml:space="preserve">и комфортным жильем и коммунальными услугами</w:t>
      </w:r>
      <w:r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 xml:space="preserve">граждан Российской Федерации"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1. Приложение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</w:rPr>
        <w:t xml:space="preserve"> 1</w:t>
      </w:r>
      <w:r>
        <w:rPr>
          <w:color w:val="000000" w:themeColor="text1"/>
          <w:lang w:val="ru-RU"/>
        </w:rPr>
        <w:t xml:space="preserve">5</w:t>
      </w:r>
      <w:r>
        <w:rPr>
          <w:vertAlign w:val="superscript"/>
          <w:lang w:val="ru-RU" w:eastAsia="ru-RU"/>
        </w:rPr>
        <w:t xml:space="preserve">1</w:t>
      </w:r>
      <w:r>
        <w:rPr>
          <w:color w:val="000000" w:themeColor="text1"/>
        </w:rPr>
        <w:t xml:space="preserve"> к </w:t>
      </w:r>
      <w:r>
        <w:rPr>
          <w:color w:val="000000" w:themeColor="text1"/>
          <w:lang w:val="ru-RU"/>
        </w:rPr>
        <w:t xml:space="preserve">указанной Программе признать утратившим силу.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 xml:space="preserve">2</w:t>
      </w:r>
      <w:r>
        <w:rPr>
          <w:color w:val="000000" w:themeColor="text1"/>
        </w:rPr>
        <w:t xml:space="preserve">. </w:t>
      </w:r>
      <w:r>
        <w:rPr>
          <w:color w:val="000000" w:themeColor="text1"/>
          <w:lang w:val="ru-RU"/>
        </w:rPr>
        <w:t xml:space="preserve">В </w:t>
      </w:r>
      <w:r>
        <w:rPr>
          <w:color w:val="000000" w:themeColor="text1"/>
        </w:rPr>
        <w:t xml:space="preserve">Приложение </w:t>
      </w:r>
      <w:r>
        <w:rPr>
          <w:color w:val="000000" w:themeColor="text1"/>
          <w:lang w:val="ru-RU"/>
        </w:rPr>
        <w:t xml:space="preserve">№</w:t>
      </w:r>
      <w:r>
        <w:rPr>
          <w:color w:val="000000" w:themeColor="text1"/>
        </w:rPr>
        <w:t xml:space="preserve"> 27 к указанной Программе</w:t>
      </w:r>
      <w:r>
        <w:rPr>
          <w:color w:val="000000" w:themeColor="text1"/>
          <w:lang w:val="ru-RU"/>
        </w:rPr>
        <w:t xml:space="preserve"> внести следующие изменения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 xml:space="preserve">а) </w:t>
      </w:r>
      <w:r>
        <w:rPr>
          <w:color w:val="000000" w:themeColor="text1"/>
          <w:lang w:val="ru-RU"/>
        </w:rPr>
        <w:t xml:space="preserve">В</w:t>
      </w:r>
      <w:r>
        <w:rPr>
          <w:color w:val="000000" w:themeColor="text1"/>
          <w:lang w:val="ru-RU"/>
        </w:rPr>
        <w:t xml:space="preserve"> абзаце третьем пункта 1 слова "в государственной собственности субъекта Российской Федерации или муниципальной собственности" заменить словами "(в отношении подлежащих строительству – которые будут</w:t>
      </w:r>
      <w:r>
        <w:rPr>
          <w:color w:val="000000" w:themeColor="text1"/>
          <w:lang w:val="ru-RU"/>
        </w:rPr>
        <w:t xml:space="preserve"> находиться) в государственной собственности субъекта Российской Федерации, муниципальной собственности или частной собственности".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 xml:space="preserve">б) П</w:t>
      </w:r>
      <w:r>
        <w:rPr>
          <w:color w:val="000000" w:themeColor="text1"/>
        </w:rPr>
        <w:t xml:space="preserve">ункт</w:t>
      </w:r>
      <w:r>
        <w:rPr>
          <w:color w:val="000000" w:themeColor="text1"/>
        </w:rPr>
        <w:t xml:space="preserve"> 1 </w:t>
      </w:r>
      <w:bookmarkStart w:id="0" w:name="undefined"/>
      <w:r/>
      <w:bookmarkEnd w:id="0"/>
      <w:r>
        <w:rPr>
          <w:color w:val="000000" w:themeColor="text1"/>
        </w:rPr>
        <w:t xml:space="preserve">дополнить абзацем следующего содержания: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"Под инвестиционным проектом понимается ограниченный по времени осуществ</w:t>
      </w:r>
      <w:r>
        <w:rPr>
          <w:color w:val="000000" w:themeColor="text1"/>
        </w:rPr>
        <w:t xml:space="preserve">ления и затрачиваемым ресурсам комплекс мероприятий и процессов, направленный на строительство, реконструкцию (модернизацию) и (или) капитальный ремонт объектов коммунальной инфраструктуры </w:t>
      </w:r>
      <w:r>
        <w:rPr>
          <w:color w:val="000000" w:themeColor="text1"/>
        </w:rPr>
        <w:br/>
        <w:t xml:space="preserve">(далее – инвестиционный проект).".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в) Подпункт "а" пункта 7 изложи</w:t>
      </w:r>
      <w:r>
        <w:rPr>
          <w:color w:val="000000" w:themeColor="text1"/>
          <w:lang w:val="ru-RU" w:eastAsia="ru-RU"/>
        </w:rPr>
        <w:t xml:space="preserve">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"</w:t>
      </w:r>
      <w:r>
        <w:rPr>
          <w:color w:val="000000" w:themeColor="text1"/>
          <w:lang w:val="ru-RU" w:eastAsia="ru-RU"/>
        </w:rPr>
        <w:t xml:space="preserve">а) заключение между Министерством строительства и жилищно-коммунального хозяйства Российской Федерации и высшим исполнительным органом субъекта Российской Федерации до 1 апреля 2025 г. меморандума </w:t>
      </w:r>
      <w:r>
        <w:rPr>
          <w:color w:val="000000" w:themeColor="text1"/>
          <w:lang w:val="ru-RU" w:eastAsia="ru-RU"/>
        </w:rPr>
        <w:br/>
        <w:t xml:space="preserve">о модернизации систем коммунальн</w:t>
      </w:r>
      <w:r>
        <w:rPr>
          <w:color w:val="000000" w:themeColor="text1"/>
          <w:lang w:val="ru-RU" w:eastAsia="ru-RU"/>
        </w:rPr>
        <w:t xml:space="preserve">ой инфраструктуры на территории субъекта Российской Федерации по форме, определяемой Министерством строительства и жилищно-коммунального хозяйства Российской Федерации </w:t>
        <w:br/>
        <w:t xml:space="preserve">(далее - меморандум), содержащего положения: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 ежегодном сокращении задолженности потре</w:t>
      </w:r>
      <w:r>
        <w:rPr>
          <w:color w:val="000000" w:themeColor="text1"/>
          <w:lang w:val="ru-RU" w:eastAsia="ru-RU"/>
        </w:rPr>
        <w:t xml:space="preserve">бителей коммунальных услуг (коммунальных ресурсов), не погашенной в установленные в соответствии с законодательством Российской Федерации сроки, перед </w:t>
      </w:r>
      <w:r>
        <w:rPr>
          <w:color w:val="000000" w:themeColor="text1"/>
          <w:lang w:val="ru-RU" w:eastAsia="ru-RU"/>
        </w:rPr>
        <w:t xml:space="preserve">ресурсоснабжающими</w:t>
      </w:r>
      <w:r>
        <w:rPr>
          <w:color w:val="000000" w:themeColor="text1"/>
          <w:lang w:val="ru-RU" w:eastAsia="ru-RU"/>
        </w:rPr>
        <w:t xml:space="preserve"> организациями, осуществляющими деятельность в сфере теплоснабжения, водоснабжения и во</w:t>
      </w:r>
      <w:r>
        <w:rPr>
          <w:color w:val="000000" w:themeColor="text1"/>
          <w:lang w:val="ru-RU" w:eastAsia="ru-RU"/>
        </w:rPr>
        <w:t xml:space="preserve">доотведения (далее - </w:t>
      </w:r>
      <w:r>
        <w:rPr>
          <w:color w:val="000000" w:themeColor="text1"/>
          <w:lang w:val="ru-RU" w:eastAsia="ru-RU"/>
        </w:rPr>
        <w:t xml:space="preserve">ресурсоснабжающие</w:t>
      </w:r>
      <w:r>
        <w:rPr>
          <w:color w:val="000000" w:themeColor="text1"/>
          <w:lang w:val="ru-RU" w:eastAsia="ru-RU"/>
        </w:rPr>
        <w:t xml:space="preserve"> организации), </w:t>
      </w:r>
      <w:r>
        <w:rPr>
          <w:color w:val="000000" w:themeColor="text1"/>
          <w:lang w:val="ru-RU" w:eastAsia="ru-RU"/>
        </w:rPr>
        <w:br/>
        <w:t xml:space="preserve">по данным форм отчетов по мониторингу платежной дисциплины потребителей коммунальных услуг (коммунальных ресурсов) за отчетный год, не менее чем </w:t>
      </w:r>
      <w:r>
        <w:rPr>
          <w:color w:val="000000" w:themeColor="text1"/>
          <w:lang w:val="ru-RU" w:eastAsia="ru-RU"/>
        </w:rPr>
        <w:br/>
        <w:t xml:space="preserve">на 2 процента по сравнению с</w:t>
      </w:r>
      <w:r>
        <w:rPr>
          <w:color w:val="000000" w:themeColor="text1"/>
          <w:lang w:val="ru-RU" w:eastAsia="ru-RU"/>
        </w:rPr>
        <w:t xml:space="preserve">о</w:t>
      </w:r>
      <w:r>
        <w:rPr>
          <w:color w:val="000000" w:themeColor="text1"/>
          <w:lang w:val="ru-RU" w:eastAsia="ru-RU"/>
        </w:rPr>
        <w:t xml:space="preserve"> значением указанной задолже</w:t>
      </w:r>
      <w:r>
        <w:rPr>
          <w:color w:val="000000" w:themeColor="text1"/>
          <w:lang w:val="ru-RU" w:eastAsia="ru-RU"/>
        </w:rPr>
        <w:t xml:space="preserve">нности за год, </w:t>
      </w:r>
      <w:r>
        <w:rPr>
          <w:color w:val="000000" w:themeColor="text1"/>
          <w:lang w:val="ru-RU" w:eastAsia="ru-RU"/>
        </w:rPr>
        <w:t xml:space="preserve">предшествующий отчетному году, в соответствии с утвержденным планом мероприятий по повышению платежной дисциплины указанных потребителей.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Мониторинг реализации плана мероприятий по повышению платежной дисциплины осуществляется Фондом в соотв</w:t>
      </w:r>
      <w:r>
        <w:rPr>
          <w:color w:val="000000" w:themeColor="text1"/>
          <w:lang w:val="ru-RU" w:eastAsia="ru-RU"/>
        </w:rPr>
        <w:t xml:space="preserve">етствии с порядком, установленным Фондом по согласованию с Министерством строительства </w:t>
      </w:r>
      <w:r>
        <w:rPr>
          <w:color w:val="000000" w:themeColor="text1"/>
          <w:lang w:val="ru-RU" w:eastAsia="ru-RU"/>
        </w:rPr>
        <w:br/>
        <w:t xml:space="preserve">и жилищно-коммунального хозяйства Российской Федерации;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 наличии утвержденных инвестиционных программ или заключенных соглашений об исполнении схемы теплоснабжения в </w:t>
      </w:r>
      <w:r>
        <w:rPr>
          <w:color w:val="000000" w:themeColor="text1"/>
          <w:lang w:val="ru-RU" w:eastAsia="ru-RU"/>
        </w:rPr>
        <w:t xml:space="preserve">муниципальных образованиях, отнесенных к ценовым зонам теплоснабжения, </w:t>
      </w:r>
      <w:r>
        <w:rPr>
          <w:color w:val="000000" w:themeColor="text1"/>
          <w:lang w:val="ru-RU" w:eastAsia="ru-RU"/>
        </w:rPr>
        <w:br/>
        <w:t xml:space="preserve">у </w:t>
      </w:r>
      <w:r>
        <w:rPr>
          <w:color w:val="000000" w:themeColor="text1"/>
          <w:lang w:val="ru-RU" w:eastAsia="ru-RU"/>
        </w:rPr>
        <w:t xml:space="preserve">ресурсоснабжающих</w:t>
      </w:r>
      <w:r>
        <w:rPr>
          <w:color w:val="000000" w:themeColor="text1"/>
          <w:lang w:val="ru-RU" w:eastAsia="ru-RU"/>
        </w:rPr>
        <w:t xml:space="preserve"> организаций, реализующих мероприятия, предусмотренные пунктом 1 настоящих Правил, на каждый год реализации комплексных планов, начиная с 2026 года. Для </w:t>
      </w:r>
      <w:r>
        <w:rPr>
          <w:color w:val="000000" w:themeColor="text1"/>
          <w:lang w:val="ru-RU" w:eastAsia="ru-RU"/>
        </w:rPr>
        <w:t xml:space="preserve">ресурсоснабж</w:t>
      </w:r>
      <w:r>
        <w:rPr>
          <w:color w:val="000000" w:themeColor="text1"/>
          <w:lang w:val="ru-RU" w:eastAsia="ru-RU"/>
        </w:rPr>
        <w:t xml:space="preserve">ающих</w:t>
      </w:r>
      <w:r>
        <w:rPr>
          <w:color w:val="000000" w:themeColor="text1"/>
          <w:lang w:val="ru-RU" w:eastAsia="ru-RU"/>
        </w:rPr>
        <w:t xml:space="preserve"> организаций, реализующих мероприятия комплексного плана, являющихся стороной концессионного соглашения, заключенного после 1 сентября 2025 г., условие о наличии утвержденных инвестиционных программ должно быть выполнено в течение двенадцати месяцев с</w:t>
      </w:r>
      <w:r>
        <w:rPr>
          <w:color w:val="000000" w:themeColor="text1"/>
          <w:lang w:val="ru-RU" w:eastAsia="ru-RU"/>
        </w:rPr>
        <w:t xml:space="preserve"> момента заключения концессионного соглашения;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 достижении соотношения фактического объема реализации инвестиционных программ </w:t>
      </w:r>
      <w:r>
        <w:rPr>
          <w:color w:val="000000" w:themeColor="text1"/>
          <w:lang w:val="ru-RU" w:eastAsia="ru-RU"/>
        </w:rPr>
        <w:t xml:space="preserve">ресурсоснабжающих</w:t>
      </w:r>
      <w:r>
        <w:rPr>
          <w:color w:val="000000" w:themeColor="text1"/>
          <w:lang w:val="ru-RU" w:eastAsia="ru-RU"/>
        </w:rPr>
        <w:t xml:space="preserve"> организаций по отношению </w:t>
      </w:r>
      <w:r>
        <w:rPr>
          <w:color w:val="000000" w:themeColor="text1"/>
          <w:lang w:val="ru-RU" w:eastAsia="ru-RU"/>
        </w:rPr>
        <w:br/>
        <w:t xml:space="preserve">к запланированному объему такой реализации совокупно в сферах водоснабжения, водоотв</w:t>
      </w:r>
      <w:r>
        <w:rPr>
          <w:color w:val="000000" w:themeColor="text1"/>
          <w:lang w:val="ru-RU" w:eastAsia="ru-RU"/>
        </w:rPr>
        <w:t xml:space="preserve">едения и теплоснабжения на территории субъекта Российской Федерации - не менее 80 процентов по итогам 2027 года и не менее 95 процентов по итогам 2029 года;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 ежегодном снижении в субъекте Российской Федерации не менее чем </w:t>
      </w:r>
      <w:r>
        <w:rPr>
          <w:color w:val="000000" w:themeColor="text1"/>
          <w:lang w:val="ru-RU" w:eastAsia="ru-RU"/>
        </w:rPr>
        <w:br/>
        <w:t xml:space="preserve">на 3 процента </w:t>
      </w:r>
      <w:r>
        <w:rPr>
          <w:color w:val="000000" w:themeColor="text1"/>
          <w:lang w:eastAsia="ru-RU"/>
        </w:rPr>
        <w:t xml:space="preserve">медианного</w:t>
      </w:r>
      <w:r>
        <w:rPr>
          <w:color w:val="000000" w:themeColor="text1"/>
          <w:lang w:val="ru-RU" w:eastAsia="ru-RU"/>
        </w:rPr>
        <w:t xml:space="preserve"> времен</w:t>
      </w:r>
      <w:r>
        <w:rPr>
          <w:color w:val="000000" w:themeColor="text1"/>
          <w:lang w:val="ru-RU" w:eastAsia="ru-RU"/>
        </w:rPr>
        <w:t xml:space="preserve">и, затраченного на восстановление работоспособности сетей водоснабжения, водоотведения и теплоснабжения при аварийно-восстановительных ремонтах таких сетей, по отношению к году, предшествующему году предоставления субсидии, в случае если в предыдущем году </w:t>
      </w:r>
      <w:r>
        <w:rPr>
          <w:color w:val="000000" w:themeColor="text1"/>
          <w:lang w:val="ru-RU" w:eastAsia="ru-RU"/>
        </w:rPr>
        <w:t xml:space="preserve">среднее время, затраченное на восстановление указанной работоспособности, в субъекте Российской Федерации было выше среднего времени, затраченного на восстановление указанной работоспособности, </w:t>
      </w:r>
      <w:r>
        <w:rPr>
          <w:color w:val="000000" w:themeColor="text1"/>
          <w:lang w:val="ru-RU" w:eastAsia="ru-RU"/>
        </w:rPr>
        <w:br/>
        <w:t xml:space="preserve">по Российской Федерации;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 замене не менее 2,5 процента обще</w:t>
      </w:r>
      <w:r>
        <w:rPr>
          <w:color w:val="000000" w:themeColor="text1"/>
          <w:lang w:val="ru-RU" w:eastAsia="ru-RU"/>
        </w:rPr>
        <w:t xml:space="preserve">го объема сетей водоснабжения, водоотведения и теплоснабжения, расположенных на территории соответствующего субъекта Российской Федерации, начиная с 2030 года и далее ежегодно;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об утверждении уполномоченным органом субъекта Российской Федерации единых на </w:t>
      </w:r>
      <w:r>
        <w:rPr>
          <w:color w:val="000000" w:themeColor="text1"/>
          <w:lang w:val="ru-RU" w:eastAsia="ru-RU"/>
        </w:rPr>
        <w:t xml:space="preserve">территории субъекта Российской Федерации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</w:t>
      </w:r>
      <w:r>
        <w:rPr>
          <w:color w:val="000000" w:themeColor="text1"/>
          <w:lang w:val="ru-RU" w:eastAsia="ru-RU"/>
        </w:rPr>
        <w:br/>
        <w:t xml:space="preserve">в многоквартирных домах, в отношении всех или отдельных муницип</w:t>
      </w:r>
      <w:r>
        <w:rPr>
          <w:color w:val="000000" w:themeColor="text1"/>
          <w:lang w:val="ru-RU" w:eastAsia="ru-RU"/>
        </w:rPr>
        <w:t xml:space="preserve">альных образований, расположенных на территории субъекта Российской Федерации, либо программы энергосбережения и повышения энергетической эффективности, направленной на энергосбережение и повышение энергетической эффективности использования энергетических </w:t>
      </w:r>
      <w:r>
        <w:rPr>
          <w:color w:val="000000" w:themeColor="text1"/>
          <w:lang w:val="ru-RU" w:eastAsia="ru-RU"/>
        </w:rPr>
        <w:t xml:space="preserve">ресурсов </w:t>
      </w:r>
      <w:r>
        <w:rPr>
          <w:color w:val="000000" w:themeColor="text1"/>
          <w:lang w:val="ru-RU" w:eastAsia="ru-RU"/>
        </w:rPr>
        <w:br/>
      </w:r>
      <w:r>
        <w:rPr>
          <w:color w:val="000000" w:themeColor="text1"/>
          <w:lang w:val="ru-RU" w:eastAsia="ru-RU"/>
        </w:rPr>
        <w:t xml:space="preserve">в отдельных категориях многоквартирных домов, предусматривающей в том числе установку приборов учета энергетических ресурсов, которой в числе прочего предусмотрены сроки поэтапного перехода к установлению единых </w:t>
      </w:r>
      <w:r>
        <w:rPr>
          <w:color w:val="000000" w:themeColor="text1"/>
          <w:lang w:val="ru-RU" w:eastAsia="ru-RU"/>
        </w:rPr>
        <w:br/>
        <w:t xml:space="preserve">на территории субъекта Российской</w:t>
      </w:r>
      <w:r>
        <w:rPr>
          <w:color w:val="000000" w:themeColor="text1"/>
          <w:lang w:val="ru-RU" w:eastAsia="ru-RU"/>
        </w:rPr>
        <w:t xml:space="preserve"> Федерации указанных нормативов;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о привлечении к 2030 году дополнительных внебюджетных источников финансирования на реализацию комплексных планов субъектами </w:t>
      </w:r>
      <w:r>
        <w:rPr>
          <w:color w:val="000000" w:themeColor="text1"/>
          <w:lang w:val="ru-RU" w:eastAsia="ru-RU"/>
        </w:rPr>
        <w:br/>
        <w:t xml:space="preserve">Российской Федерации в объеме и сроки, которые установлены меморандумом;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о ежегодном направлении</w:t>
      </w:r>
      <w:r>
        <w:rPr>
          <w:color w:val="000000" w:themeColor="text1"/>
          <w:lang w:eastAsia="ru-RU"/>
        </w:rPr>
        <w:t xml:space="preserve"> до 1 апреля года, следующего за отчетным </w:t>
      </w:r>
      <w:r>
        <w:rPr>
          <w:color w:val="000000" w:themeColor="text1"/>
          <w:lang w:eastAsia="ru-RU"/>
        </w:rPr>
        <w:br/>
        <w:t xml:space="preserve">в Министерство строительства и жилищно-коммунального хозяйства Российской Федерации в случае снижения собираемости платежей за жилое помещение и коммунальные услуги более чем на 1 % по сравнению </w:t>
      </w:r>
      <w:r>
        <w:rPr>
          <w:color w:val="000000" w:themeColor="text1"/>
          <w:lang w:eastAsia="ru-RU"/>
        </w:rPr>
        <w:br/>
        <w:t xml:space="preserve">с аналогичным пок</w:t>
      </w:r>
      <w:r>
        <w:rPr>
          <w:color w:val="000000" w:themeColor="text1"/>
          <w:lang w:eastAsia="ru-RU"/>
        </w:rPr>
        <w:t xml:space="preserve">азателем за год, предшествующий отчетному году, разработанного плана мероприятий по повышению уровня собираемости платежей за жилое помещение и коммунальные услуги, включая мероприятия по привлечению расчетных центров к формированию платежных документов </w:t>
      </w:r>
      <w:r>
        <w:rPr>
          <w:color w:val="000000" w:themeColor="text1"/>
          <w:lang w:eastAsia="ru-RU"/>
        </w:rPr>
        <w:br/>
        <w:t xml:space="preserve">з</w:t>
      </w:r>
      <w:r>
        <w:rPr>
          <w:color w:val="000000" w:themeColor="text1"/>
          <w:lang w:eastAsia="ru-RU"/>
        </w:rPr>
        <w:t xml:space="preserve">а жилое помещение и коммунальные услуги</w:t>
      </w:r>
      <w:r>
        <w:rPr>
          <w:color w:val="000000" w:themeColor="text1"/>
          <w:lang w:val="ru-RU" w:eastAsia="ru-RU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мероприятия, реализуемые в рамках комплексных планов, должны быть предусмотрены в схем</w:t>
      </w:r>
      <w:r>
        <w:rPr>
          <w:color w:val="000000" w:themeColor="text1"/>
          <w:lang w:val="ru-RU" w:eastAsia="ru-RU"/>
        </w:rPr>
        <w:t xml:space="preserve">ах</w:t>
      </w:r>
      <w:r>
        <w:rPr>
          <w:color w:val="000000" w:themeColor="text1"/>
          <w:lang w:eastAsia="ru-RU"/>
        </w:rPr>
        <w:t xml:space="preserve"> тепло-, водоснабжения и водоотведения</w:t>
      </w:r>
      <w:r>
        <w:rPr>
          <w:color w:val="000000" w:themeColor="text1"/>
          <w:lang w:val="ru-RU" w:eastAsia="ru-RU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Мониторинг заключения и выполнения условий меморандумов осуществляется Фондом в соответствии с порядком, установленным Фондом по согласованию с Министерством строительства и жилищно-коммунального хозяйства Российской Федерации</w:t>
      </w:r>
      <w:r>
        <w:rPr>
          <w:color w:val="000000" w:themeColor="text1"/>
          <w:lang w:val="ru-RU" w:eastAsia="ru-RU"/>
        </w:rPr>
        <w:t xml:space="preserve">;</w:t>
      </w:r>
      <w:r>
        <w:rPr>
          <w:color w:val="000000" w:themeColor="text1"/>
        </w:rPr>
        <w:t xml:space="preserve">"</w:t>
      </w:r>
      <w:r>
        <w:rPr>
          <w:color w:val="000000" w:themeColor="text1"/>
          <w:lang w:val="ru-RU" w:eastAsia="ru-RU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г) Подпункты "а" и "б" пун</w:t>
      </w:r>
      <w:r>
        <w:rPr>
          <w:color w:val="000000" w:themeColor="text1"/>
          <w:lang w:val="ru-RU" w:eastAsia="ru-RU"/>
        </w:rPr>
        <w:t xml:space="preserve">кта 8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"а) строительство, реконструкция (модернизация), капитальный ремонт объектов коммунальной инфраструктуры и (или) предоставление субсидий </w:t>
        <w:br/>
        <w:t xml:space="preserve">из бюджетов субъектов Российской Федерации местным бюджетам </w:t>
        <w:br/>
        <w:t xml:space="preserve">на </w:t>
      </w:r>
      <w:r>
        <w:rPr>
          <w:color w:val="000000" w:themeColor="text1"/>
          <w:lang w:eastAsia="ru-RU"/>
        </w:rPr>
        <w:t xml:space="preserve">софинансирование</w:t>
      </w:r>
      <w:r>
        <w:rPr>
          <w:color w:val="000000" w:themeColor="text1"/>
          <w:lang w:eastAsia="ru-RU"/>
        </w:rPr>
        <w:t xml:space="preserve"> ст</w:t>
      </w:r>
      <w:r>
        <w:rPr>
          <w:color w:val="000000" w:themeColor="text1"/>
          <w:lang w:eastAsia="ru-RU"/>
        </w:rPr>
        <w:t xml:space="preserve">роительства, реконструкции (модернизации), капитального ремонта объектов коммунальной инфраструктуры или юридическим лицам, не являющимся государственными или муниципальными унитарными предприятиями, государственными или муниципальными учреждениями и являю</w:t>
      </w:r>
      <w:r>
        <w:rPr>
          <w:color w:val="000000" w:themeColor="text1"/>
          <w:lang w:eastAsia="ru-RU"/>
        </w:rPr>
        <w:t xml:space="preserve">щимся в соответствии с законодательством в сфере теплоснабжения теплоснабжающими или </w:t>
      </w:r>
      <w:r>
        <w:rPr>
          <w:color w:val="000000" w:themeColor="text1"/>
          <w:lang w:eastAsia="ru-RU"/>
        </w:rPr>
        <w:t xml:space="preserve">теплосетевыми</w:t>
      </w:r>
      <w:r>
        <w:rPr>
          <w:color w:val="000000" w:themeColor="text1"/>
          <w:lang w:eastAsia="ru-RU"/>
        </w:rPr>
        <w:t xml:space="preserve"> </w:t>
      </w:r>
      <w:r>
        <w:rPr>
          <w:lang w:eastAsia="ru-RU"/>
        </w:rPr>
        <w:t xml:space="preserve">организациями или </w:t>
        <w:br/>
        <w:t xml:space="preserve">в соответствии с законодательством о водоснабжении и водоотведении организациями водопроводно-канализационного хозяйства, на </w:t>
      </w:r>
      <w:r>
        <w:rPr>
          <w:lang w:val="ru-RU" w:eastAsia="ru-RU"/>
        </w:rPr>
        <w:t xml:space="preserve">финансовое обеспечение</w:t>
      </w:r>
      <w:r>
        <w:rPr>
          <w:lang w:eastAsia="ru-RU"/>
        </w:rPr>
        <w:t xml:space="preserve"> в соответствии со статьей 78 Бюджетного кодекса </w:t>
        <w:br/>
        <w:t xml:space="preserve">Российской Федерации в связи с выполнением указанными лицами мероприятий по реконструкции (модернизации), капитальному ремонту объектов </w:t>
      </w:r>
      <w:r>
        <w:rPr>
          <w:color w:val="000000" w:themeColor="text1"/>
          <w:lang w:eastAsia="ru-RU"/>
        </w:rPr>
        <w:t xml:space="preserve">коммунальной инфраструктуры";</w:t>
      </w: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</w:r>
    </w:p>
    <w:p>
      <w:pPr>
        <w:ind w:firstLine="567"/>
        <w:jc w:val="both"/>
      </w:pPr>
      <w:r>
        <w:rPr>
          <w:color w:val="000000" w:themeColor="text1"/>
          <w:lang w:eastAsia="ru-RU"/>
        </w:rPr>
        <w:t xml:space="preserve">б) финансирование на </w:t>
      </w:r>
      <w:r>
        <w:rPr>
          <w:color w:val="000000" w:themeColor="text1"/>
          <w:lang w:eastAsia="ru-RU"/>
        </w:rPr>
        <w:t xml:space="preserve">этапе создания, реконструкции (модернизации) или эксплуатации объектов концессионных соглашений, заключенных (заключаемых) в отношении объектов коммунальной инфраструктуры, части расходов на создание, реконструкцию (модернизацию), капитальный ремонт объект</w:t>
      </w:r>
      <w:r>
        <w:rPr>
          <w:color w:val="000000" w:themeColor="text1"/>
          <w:lang w:eastAsia="ru-RU"/>
        </w:rPr>
        <w:t xml:space="preserve">ов таких концессионных соглашений (капитальные гранты или плата </w:t>
      </w:r>
      <w:r>
        <w:rPr>
          <w:color w:val="000000" w:themeColor="text1"/>
          <w:lang w:eastAsia="ru-RU"/>
        </w:rPr>
        <w:t xml:space="preserve">концедента</w:t>
      </w:r>
      <w:r>
        <w:rPr>
          <w:color w:val="000000" w:themeColor="text1"/>
          <w:lang w:eastAsia="ru-RU"/>
        </w:rPr>
        <w:t xml:space="preserve"> (для концессионных соглашений, заключенных </w:t>
      </w:r>
      <w:r>
        <w:rPr>
          <w:color w:val="000000" w:themeColor="text1"/>
          <w:lang w:eastAsia="ru-RU"/>
        </w:rPr>
        <w:br/>
        <w:t xml:space="preserve">до 1 октября 2023 г.)) и (или) предоставление субсидий из бюджетов субъектов </w:t>
      </w:r>
      <w:r>
        <w:rPr>
          <w:color w:val="000000" w:themeColor="text1"/>
          <w:lang w:eastAsia="ru-RU"/>
        </w:rPr>
        <w:t xml:space="preserve">Российской Федерации местным бюджетам на финансирование на э</w:t>
      </w:r>
      <w:r>
        <w:rPr>
          <w:color w:val="000000" w:themeColor="text1"/>
          <w:lang w:eastAsia="ru-RU"/>
        </w:rPr>
        <w:t xml:space="preserve">тапе создания, реконструкции (модернизации) или эксплуатации объектов концессионных соглашений, заключенных (заключаемых) в отношении объектов коммунальной инфраструктуры, части расходов на создание, реконструкцию (модернизацию) капитальный ремонт объектов</w:t>
      </w:r>
      <w:r>
        <w:rPr>
          <w:color w:val="000000" w:themeColor="text1"/>
          <w:lang w:eastAsia="ru-RU"/>
        </w:rPr>
        <w:t xml:space="preserve"> таких концессионных соглашений.".</w:t>
      </w:r>
      <w:r/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д) </w:t>
      </w:r>
      <w:r>
        <w:rPr>
          <w:color w:val="000000" w:themeColor="text1"/>
          <w:lang w:val="ru-RU" w:eastAsia="ru-RU"/>
        </w:rPr>
        <w:t xml:space="preserve">В</w:t>
      </w:r>
      <w:r>
        <w:rPr>
          <w:color w:val="000000" w:themeColor="text1"/>
          <w:lang w:val="ru-RU" w:eastAsia="ru-RU"/>
        </w:rPr>
        <w:t xml:space="preserve"> подпункте 10 после цифры "13" дополнить цифрой ", 24".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е) </w:t>
      </w:r>
      <w:r>
        <w:rPr>
          <w:color w:val="000000" w:themeColor="text1"/>
          <w:lang w:eastAsia="ru-RU"/>
        </w:rPr>
        <w:t xml:space="preserve">Подпункт "д" пункта 11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"д) копии правоустанавливающих документов на земельный участок </w:t>
      </w:r>
      <w:r>
        <w:rPr>
          <w:color w:val="000000" w:themeColor="text1"/>
          <w:lang w:eastAsia="ru-RU"/>
        </w:rPr>
        <w:br/>
        <w:t xml:space="preserve">(если в соответствии с законодательством</w:t>
      </w:r>
      <w:r>
        <w:rPr>
          <w:color w:val="000000" w:themeColor="text1"/>
          <w:lang w:eastAsia="ru-RU"/>
        </w:rPr>
        <w:t xml:space="preserve"> Российской Федерации предоставление земельного участка является обязательным)</w:t>
      </w:r>
      <w:r>
        <w:rPr>
          <w:color w:val="000000" w:themeColor="text1"/>
          <w:lang w:val="ru-RU" w:eastAsia="ru-RU"/>
        </w:rPr>
        <w:t xml:space="preserve">.</w:t>
      </w:r>
      <w:r>
        <w:rPr>
          <w:color w:val="000000" w:themeColor="text1"/>
          <w:lang w:eastAsia="ru-RU"/>
        </w:rPr>
        <w:t xml:space="preserve">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ru-RU" w:eastAsia="ru-RU"/>
        </w:rPr>
        <w:t xml:space="preserve">ж) </w:t>
      </w:r>
      <w:r>
        <w:rPr>
          <w:color w:val="000000" w:themeColor="text1"/>
          <w:lang w:eastAsia="ru-RU"/>
        </w:rPr>
        <w:t xml:space="preserve">Пункт 12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"12. Для получения субсидий на цели, указанные в подпункте "б" пункта 8 настоящих Правил, субъекты Российской Федерации и глава адми</w:t>
      </w:r>
      <w:r>
        <w:rPr>
          <w:color w:val="000000" w:themeColor="text1"/>
          <w:lang w:eastAsia="ru-RU"/>
        </w:rPr>
        <w:t xml:space="preserve">нистрации г. Байконура представляют одновременно с заявкой, указанной в пункте 9 настоящих Правил, копию одного из следующих документов: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а) заключенного концессионного соглашения или копию согласия антимонопольного органа на изменение условий концессионног</w:t>
      </w:r>
      <w:r>
        <w:rPr>
          <w:color w:val="000000" w:themeColor="text1"/>
          <w:lang w:eastAsia="ru-RU"/>
        </w:rPr>
        <w:t xml:space="preserve">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концессионером по которому является участник, реализующий меро</w:t>
      </w:r>
      <w:r>
        <w:rPr>
          <w:color w:val="000000" w:themeColor="text1"/>
          <w:lang w:eastAsia="ru-RU"/>
        </w:rPr>
        <w:t xml:space="preserve">приятия региональной программы, </w:t>
      </w:r>
      <w:r>
        <w:rPr>
          <w:color w:val="000000" w:themeColor="text1"/>
          <w:lang w:eastAsia="ru-RU"/>
        </w:rPr>
        <w:br/>
        <w:t xml:space="preserve">в случаях, предусмотренных статьей 43 Федерального закона "О концессионных соглашениях</w:t>
      </w:r>
      <w:r>
        <w:rPr>
          <w:color w:val="000000" w:themeColor="text1"/>
          <w:lang w:eastAsia="ru-RU"/>
        </w:rPr>
        <w:t xml:space="preserve">"</w:t>
      </w:r>
      <w:r>
        <w:rPr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б) решения о заключении концессионного соглашения;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в) решения о возможности заключения концессионного соглашения </w:t>
      </w:r>
      <w:r>
        <w:rPr>
          <w:color w:val="000000" w:themeColor="text1"/>
          <w:lang w:eastAsia="ru-RU"/>
        </w:rPr>
        <w:br/>
        <w:t xml:space="preserve">на представленных в п</w:t>
      </w:r>
      <w:r>
        <w:rPr>
          <w:color w:val="000000" w:themeColor="text1"/>
          <w:lang w:eastAsia="ru-RU"/>
        </w:rPr>
        <w:t xml:space="preserve">редложении о заключении концессионного соглашения условиях или решения 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</w:t>
      </w:r>
      <w:r>
        <w:rPr>
          <w:color w:val="000000" w:themeColor="text1"/>
          <w:lang w:eastAsia="ru-RU"/>
        </w:rPr>
        <w:t xml:space="preserve">шения, с лицом, выступившим с инициативой заключения концессионного соглашения.".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lang w:eastAsia="ru-RU"/>
        </w:rPr>
      </w:pPr>
      <w:r>
        <w:rPr>
          <w:color w:val="000000" w:themeColor="text1"/>
          <w:lang w:val="ru-RU" w:eastAsia="ru-RU"/>
        </w:rPr>
        <w:t xml:space="preserve">з)</w:t>
      </w:r>
      <w:r>
        <w:rPr>
          <w:color w:val="000000" w:themeColor="text1"/>
          <w:lang w:eastAsia="ru-RU"/>
        </w:rPr>
        <w:t xml:space="preserve"> Подпункт "а" пункта 13 дополнить словами: ", а для канализационных очистных сооружений централизованных систем водоотведения поселений, </w:t>
      </w:r>
      <w:r>
        <w:rPr>
          <w:lang w:eastAsia="ru-RU"/>
        </w:rPr>
        <w:t xml:space="preserve">муниципальных или городских округов - задания на разработку основных технических решений по строительству или реконструкции".</w:t>
      </w:r>
      <w:r>
        <w:rPr>
          <w:lang w:eastAsia="ru-RU"/>
        </w:rPr>
      </w:r>
      <w:r>
        <w:rPr>
          <w:lang w:eastAsia="ru-RU"/>
        </w:rPr>
      </w:r>
    </w:p>
    <w:p>
      <w:pPr>
        <w:ind w:firstLine="567"/>
        <w:jc w:val="both"/>
        <w:rPr>
          <w:lang w:eastAsia="ru-RU"/>
        </w:rPr>
      </w:pPr>
      <w:r>
        <w:rPr>
          <w:lang w:val="ru-RU" w:eastAsia="ru-RU"/>
        </w:rPr>
        <w:t xml:space="preserve">е)</w:t>
      </w:r>
      <w:r>
        <w:rPr>
          <w:lang w:eastAsia="ru-RU"/>
        </w:rPr>
        <w:t xml:space="preserve"> в пункте </w:t>
      </w:r>
      <w:r>
        <w:rPr>
          <w:lang w:val="ru-RU" w:eastAsia="ru-RU"/>
        </w:rPr>
        <w:t xml:space="preserve">21</w:t>
      </w:r>
      <w:r>
        <w:rPr>
          <w:lang w:eastAsia="ru-RU"/>
        </w:rPr>
        <w:t xml:space="preserve"> слова "отсутствием заявок, указанных в пункте 9 настоящих Правил," исключить.</w:t>
      </w:r>
      <w:r>
        <w:rPr>
          <w:lang w:eastAsia="ru-RU"/>
        </w:rPr>
      </w:r>
      <w:r>
        <w:rPr>
          <w:lang w:eastAsia="ru-RU"/>
        </w:rPr>
      </w:r>
    </w:p>
    <w:p>
      <w:pPr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з) Дополнить пунктом 21</w:t>
      </w:r>
      <w:r>
        <w:rPr>
          <w:vertAlign w:val="superscript"/>
          <w:lang w:val="ru-RU" w:eastAsia="ru-RU"/>
        </w:rPr>
        <w:t xml:space="preserve">1</w:t>
      </w:r>
      <w:r>
        <w:rPr>
          <w:lang w:val="ru-RU" w:eastAsia="ru-RU"/>
        </w:rPr>
        <w:t xml:space="preserve"> следующего с</w:t>
      </w:r>
      <w:r>
        <w:rPr>
          <w:lang w:val="ru-RU" w:eastAsia="ru-RU"/>
        </w:rPr>
        <w:t xml:space="preserve">одержания: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ind w:firstLine="567"/>
        <w:jc w:val="both"/>
        <w:rPr>
          <w:lang w:eastAsia="ru-RU"/>
        </w:rPr>
      </w:pPr>
      <w:r>
        <w:rPr>
          <w:color w:val="000000" w:themeColor="text1"/>
          <w:lang w:eastAsia="ru-RU"/>
        </w:rPr>
        <w:t xml:space="preserve">"</w:t>
      </w:r>
      <w:r>
        <w:rPr>
          <w:lang w:eastAsia="ru-RU"/>
        </w:rPr>
        <w:t xml:space="preserve">В случае отказа субъекта Российской Федерации и г. Байконура </w:t>
      </w:r>
      <w:r>
        <w:rPr>
          <w:lang w:eastAsia="ru-RU"/>
        </w:rPr>
        <w:br/>
        <w:t xml:space="preserve">от получения субсидии из федерального бюджета, поступившего </w:t>
      </w:r>
      <w:r>
        <w:rPr>
          <w:lang w:eastAsia="ru-RU"/>
        </w:rPr>
        <w:br/>
        <w:t xml:space="preserve">в Министерство строительства и жилищно-коммунального хозяйства Российской Федерации в официальном порядке за подписью выс</w:t>
      </w:r>
      <w:r>
        <w:rPr>
          <w:lang w:eastAsia="ru-RU"/>
        </w:rPr>
        <w:t xml:space="preserve">шего должностного лица (председателя высшего исполнительного органа) субъекта Российской Федерации и главы администрации г. Байконура в период </w:t>
      </w:r>
      <w:r>
        <w:rPr>
          <w:lang w:eastAsia="ru-RU"/>
        </w:rPr>
        <w:t xml:space="preserve">проведения расчета размера субсидии из федерального бюджета, сумма такой субсидии перераспределяется в соответств</w:t>
      </w:r>
      <w:r>
        <w:rPr>
          <w:lang w:eastAsia="ru-RU"/>
        </w:rPr>
        <w:t xml:space="preserve">ии с</w:t>
      </w:r>
      <w:r>
        <w:rPr>
          <w:lang w:val="ru-RU" w:eastAsia="ru-RU"/>
        </w:rPr>
        <w:t xml:space="preserve"> пунктом 16 настоящих Правил.</w:t>
      </w:r>
      <w:r>
        <w:rPr>
          <w:lang w:eastAsia="ru-RU"/>
        </w:rPr>
        <w:t xml:space="preserve">"</w:t>
      </w:r>
      <w:r>
        <w:rPr>
          <w:lang w:val="ru-RU" w:eastAsia="ru-RU"/>
        </w:rPr>
        <w:t xml:space="preserve">.</w:t>
      </w:r>
      <w:r>
        <w:rPr>
          <w:lang w:eastAsia="ru-RU"/>
        </w:rPr>
      </w:r>
      <w:r>
        <w:rPr>
          <w:lang w:eastAsia="ru-RU"/>
        </w:rPr>
      </w:r>
    </w:p>
    <w:p>
      <w:pPr>
        <w:ind w:firstLine="567"/>
        <w:jc w:val="both"/>
        <w:rPr>
          <w:lang w:eastAsia="ru-RU"/>
        </w:rPr>
      </w:pPr>
      <w:r>
        <w:rPr>
          <w:lang w:val="ru-RU" w:eastAsia="ru-RU"/>
        </w:rPr>
        <w:t xml:space="preserve">и) Пункт 25 изложить в следующей редакции:</w:t>
      </w:r>
      <w:r>
        <w:rPr>
          <w:lang w:eastAsia="ru-RU"/>
        </w:rPr>
      </w:r>
      <w:r>
        <w:rPr>
          <w:lang w:eastAsia="ru-RU"/>
        </w:rPr>
      </w:r>
    </w:p>
    <w:p>
      <w:pPr>
        <w:ind w:firstLine="567"/>
        <w:jc w:val="both"/>
        <w:rPr>
          <w:lang w:val="en-US" w:eastAsia="ru-RU"/>
        </w:rPr>
      </w:pPr>
      <w:r>
        <w:rPr>
          <w:lang w:eastAsia="ru-RU"/>
        </w:rPr>
        <w:t xml:space="preserve">"Оценка эффективности использования субсидии осуществляется Министерством строительства и жилищно-коммунального хозяйства Российской Федерации путем сравнения фактически достигн</w:t>
      </w:r>
      <w:r>
        <w:rPr>
          <w:lang w:eastAsia="ru-RU"/>
        </w:rPr>
        <w:t xml:space="preserve">утых и плановых значений результатов использования субсидии </w:t>
      </w:r>
      <w:bookmarkStart w:id="0" w:name="undefined"/>
      <w:r>
        <w:rPr>
          <w:lang w:eastAsia="ru-RU"/>
        </w:rPr>
        <w:t xml:space="preserve">"На территориях субъектов Российской Федерации и г. Байконура завершено строительство, реконструкция (модернизация) объектов тепло-водоснабжения и водоотведения, предусмотренных региональными комп</w:t>
      </w:r>
      <w:r>
        <w:rPr>
          <w:lang w:eastAsia="ru-RU"/>
        </w:rPr>
        <w:t xml:space="preserve">лексными планами" и "На территориях субъектов Российской Федерации и г. Байконура в отношении объектов тепло-водоснабжения и водоотведения завершены мероприятия по концессионным соглашениям или капитальному ремонту"</w:t>
      </w:r>
      <w:bookmarkEnd w:id="0"/>
      <w:r>
        <w:rPr>
          <w:lang w:eastAsia="ru-RU"/>
        </w:rPr>
        <w:t xml:space="preserve">, предусмотренных соглашением".</w:t>
      </w:r>
      <w:r>
        <w:rPr>
          <w:lang w:val="en-US" w:eastAsia="ru-RU"/>
        </w:rPr>
      </w:r>
      <w:r>
        <w:rPr>
          <w:lang w:val="en-US" w:eastAsia="ru-RU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6" w:h="16838" w:orient="portrait"/>
      <w:pgMar w:top="851" w:right="851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2050206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left"/>
    </w:pPr>
    <w:r/>
    <w:r/>
  </w:p>
  <w:p>
    <w:pPr>
      <w:pStyle w:val="7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750"/>
    <w:link w:val="742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26">
    <w:name w:val="Heading 4 Char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>
    <w:name w:val="Heading 5 Char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>
    <w:name w:val="Heading 6 Char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>
    <w:name w:val="Heading 7 Char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8 Char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>
    <w:name w:val="Heading 9 Char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750"/>
    <w:link w:val="921"/>
    <w:uiPriority w:val="10"/>
    <w:rPr>
      <w:sz w:val="48"/>
      <w:szCs w:val="48"/>
    </w:rPr>
  </w:style>
  <w:style w:type="character" w:styleId="733">
    <w:name w:val="Subtitle Char"/>
    <w:basedOn w:val="750"/>
    <w:link w:val="922"/>
    <w:uiPriority w:val="11"/>
    <w:rPr>
      <w:sz w:val="24"/>
      <w:szCs w:val="24"/>
    </w:rPr>
  </w:style>
  <w:style w:type="character" w:styleId="734">
    <w:name w:val="Quote Char"/>
    <w:link w:val="766"/>
    <w:uiPriority w:val="29"/>
    <w:rPr>
      <w:i/>
    </w:rPr>
  </w:style>
  <w:style w:type="character" w:styleId="735">
    <w:name w:val="Intense Quote Char"/>
    <w:link w:val="768"/>
    <w:uiPriority w:val="30"/>
    <w:rPr>
      <w:i/>
    </w:rPr>
  </w:style>
  <w:style w:type="character" w:styleId="736">
    <w:name w:val="Header Char"/>
    <w:basedOn w:val="750"/>
    <w:link w:val="770"/>
    <w:uiPriority w:val="99"/>
  </w:style>
  <w:style w:type="character" w:styleId="737">
    <w:name w:val="Caption Char"/>
    <w:basedOn w:val="750"/>
    <w:link w:val="774"/>
    <w:uiPriority w:val="35"/>
    <w:rPr>
      <w:b/>
      <w:bCs/>
      <w:color w:val="4f81bd" w:themeColor="accent1"/>
      <w:sz w:val="18"/>
      <w:szCs w:val="18"/>
    </w:rPr>
  </w:style>
  <w:style w:type="character" w:styleId="738">
    <w:name w:val="Footnote Text Char"/>
    <w:link w:val="903"/>
    <w:uiPriority w:val="99"/>
    <w:rPr>
      <w:sz w:val="18"/>
    </w:rPr>
  </w:style>
  <w:style w:type="character" w:styleId="739">
    <w:name w:val="Endnote Text Char"/>
    <w:link w:val="906"/>
    <w:uiPriority w:val="99"/>
    <w:rPr>
      <w:sz w:val="20"/>
    </w:rPr>
  </w:style>
  <w:style w:type="paragraph" w:styleId="740" w:default="1">
    <w:name w:val="Normal"/>
  </w:style>
  <w:style w:type="paragraph" w:styleId="741">
    <w:name w:val="Heading 1"/>
    <w:basedOn w:val="740"/>
    <w:next w:val="740"/>
    <w:link w:val="75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42">
    <w:name w:val="Heading 2"/>
    <w:basedOn w:val="740"/>
    <w:next w:val="740"/>
    <w:link w:val="7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43">
    <w:name w:val="Heading 3"/>
    <w:basedOn w:val="740"/>
    <w:next w:val="740"/>
    <w:link w:val="755"/>
    <w:pPr>
      <w:keepLines/>
      <w:keepNext/>
      <w:spacing w:before="280" w:after="80"/>
      <w:outlineLvl w:val="2"/>
    </w:pPr>
    <w:rPr>
      <w:b/>
    </w:rPr>
  </w:style>
  <w:style w:type="paragraph" w:styleId="744">
    <w:name w:val="Heading 4"/>
    <w:basedOn w:val="740"/>
    <w:next w:val="740"/>
    <w:link w:val="756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45">
    <w:name w:val="Heading 5"/>
    <w:basedOn w:val="740"/>
    <w:next w:val="740"/>
    <w:link w:val="757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46">
    <w:name w:val="Heading 6"/>
    <w:basedOn w:val="740"/>
    <w:next w:val="740"/>
    <w:link w:val="758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47">
    <w:name w:val="Heading 7"/>
    <w:basedOn w:val="740"/>
    <w:next w:val="740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next w:val="740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next w:val="740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Заголовок 1 Знак"/>
    <w:link w:val="741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link w:val="742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link w:val="743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40"/>
    <w:uiPriority w:val="34"/>
    <w:qFormat/>
    <w:pPr>
      <w:contextualSpacing/>
      <w:ind w:left="720"/>
    </w:pPr>
  </w:style>
  <w:style w:type="paragraph" w:styleId="763">
    <w:name w:val="No Spacing"/>
    <w:uiPriority w:val="1"/>
    <w:qFormat/>
  </w:style>
  <w:style w:type="character" w:styleId="764" w:customStyle="1">
    <w:name w:val="Заголовок Знак"/>
    <w:link w:val="921"/>
    <w:uiPriority w:val="10"/>
    <w:rPr>
      <w:sz w:val="48"/>
      <w:szCs w:val="48"/>
    </w:rPr>
  </w:style>
  <w:style w:type="character" w:styleId="765" w:customStyle="1">
    <w:name w:val="Подзаголовок Знак"/>
    <w:link w:val="922"/>
    <w:uiPriority w:val="11"/>
    <w:rPr>
      <w:sz w:val="24"/>
      <w:szCs w:val="24"/>
    </w:rPr>
  </w:style>
  <w:style w:type="paragraph" w:styleId="766">
    <w:name w:val="Quote"/>
    <w:basedOn w:val="740"/>
    <w:next w:val="740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40"/>
    <w:next w:val="740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40"/>
    <w:link w:val="77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1" w:customStyle="1">
    <w:name w:val="Верхний колонтитул Знак"/>
    <w:link w:val="770"/>
    <w:uiPriority w:val="99"/>
  </w:style>
  <w:style w:type="paragraph" w:styleId="772">
    <w:name w:val="Footer"/>
    <w:basedOn w:val="740"/>
    <w:link w:val="77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3" w:customStyle="1">
    <w:name w:val="Footer Char"/>
    <w:uiPriority w:val="99"/>
  </w:style>
  <w:style w:type="paragraph" w:styleId="774">
    <w:name w:val="Caption"/>
    <w:basedOn w:val="740"/>
    <w:next w:val="740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 w:customStyle="1">
    <w:name w:val="Нижний колонтитул Знак"/>
    <w:link w:val="772"/>
    <w:uiPriority w:val="99"/>
  </w:style>
  <w:style w:type="table" w:styleId="776">
    <w:name w:val="Table Grid"/>
    <w:basedOn w:val="7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7" w:customStyle="1">
    <w:name w:val="Table Grid Light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5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5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5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5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5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5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5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5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5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5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5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5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5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5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5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5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5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5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5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5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5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5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5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5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5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5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5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5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5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5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5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5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5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5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5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5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5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5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5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5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5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5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5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5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5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5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5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740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40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40"/>
    <w:next w:val="740"/>
    <w:uiPriority w:val="39"/>
    <w:unhideWhenUsed/>
    <w:pPr>
      <w:spacing w:after="57"/>
    </w:pPr>
  </w:style>
  <w:style w:type="paragraph" w:styleId="910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11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12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13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14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15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16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17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40"/>
    <w:next w:val="740"/>
    <w:uiPriority w:val="99"/>
    <w:unhideWhenUsed/>
  </w:style>
  <w:style w:type="table" w:styleId="920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1">
    <w:name w:val="Title"/>
    <w:basedOn w:val="740"/>
    <w:next w:val="740"/>
    <w:link w:val="764"/>
    <w:pPr>
      <w:keepLines/>
      <w:keepNext/>
      <w:spacing w:before="480" w:after="120"/>
    </w:pPr>
    <w:rPr>
      <w:b/>
      <w:sz w:val="72"/>
      <w:szCs w:val="72"/>
    </w:rPr>
  </w:style>
  <w:style w:type="paragraph" w:styleId="922">
    <w:name w:val="Subtitle"/>
    <w:basedOn w:val="740"/>
    <w:next w:val="740"/>
    <w:link w:val="765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Елена Алексеевна</dc:creator>
  <cp:lastModifiedBy>mariya.sosnovskaya@ms-rf-dsp.ru</cp:lastModifiedBy>
  <cp:revision>11</cp:revision>
  <dcterms:created xsi:type="dcterms:W3CDTF">2026-02-11T08:26:00Z</dcterms:created>
  <dcterms:modified xsi:type="dcterms:W3CDTF">2026-04-03T11:29:40Z</dcterms:modified>
</cp:coreProperties>
</file>