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проекту постановления Правительства Российской Федерации 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 внесении изменений в постановление Правительства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Российской Федерации от 30 декабря 2017 г. № 1710</w:t>
      </w:r>
      <w:r>
        <w:rPr>
          <w:rFonts w:ascii="Times New Roman" w:hAnsi="Times New Roman" w:cs="Times New Roman"/>
          <w:b/>
          <w:sz w:val="28"/>
          <w:szCs w:val="28"/>
        </w:rPr>
        <w:t xml:space="preserve"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(далее – проект постановления)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Проектом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предусмотрено признание утратившим силу приложения № 15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Государственной программе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Российской Федерации от 30 декабря 2017 г. № 1710 </w:t>
      </w:r>
      <w:r>
        <w:rPr>
          <w:rFonts w:ascii="Times New Roman" w:hAnsi="Times New Roman" w:cs="Times New Roman"/>
          <w:sz w:val="28"/>
          <w:szCs w:val="28"/>
        </w:rPr>
        <w:br/>
        <w:t xml:space="preserve">(далее – Госпрограмма) в связи с завершением реализации федерального проекта «Оздоровление Волги» национального проекта «Экология» в связи с его завершением в 2024 году.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проектом постановления в</w:t>
      </w:r>
      <w:r>
        <w:rPr>
          <w:rFonts w:ascii="Times New Roman" w:hAnsi="Times New Roman" w:cs="Times New Roman"/>
          <w:sz w:val="28"/>
          <w:szCs w:val="28"/>
        </w:rPr>
        <w:t xml:space="preserve">носятся изменения в Правила предоставления и распределения субсидий из федерального бюджета бюджетам субъектов Российской Федерации и бюджету г. Байконура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софинансирование</w:t>
      </w:r>
      <w:r>
        <w:rPr>
          <w:rFonts w:ascii="Times New Roman" w:hAnsi="Times New Roman" w:cs="Times New Roman"/>
          <w:sz w:val="28"/>
          <w:szCs w:val="28"/>
        </w:rPr>
        <w:t xml:space="preserve"> реализации мероприятий по модернизации коммунальной инфраструктуры, установленные приложением № 27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Госпрограмме</w:t>
      </w:r>
      <w:r>
        <w:rPr>
          <w:rFonts w:ascii="Times New Roman" w:hAnsi="Times New Roman" w:cs="Times New Roman"/>
          <w:sz w:val="28"/>
          <w:szCs w:val="28"/>
        </w:rPr>
        <w:t xml:space="preserve"> (далее соответственно – Субсидии, Правила).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Проект постановления разработан Минстроем России в целях реализации федерального проекта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Модернизация коммунальной инфраструктуры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национального проекта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Инфраструктура для жизни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в соответствии </w:t>
        <w:br/>
        <w:t xml:space="preserve">с задачами, определенными Указом Президента Российской Федерации 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/>
        <w:t xml:space="preserve">от 7 мая 2024 г. № 309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 национальных целях развития Российской Федерации на период до 2030 года и на перспективу до 2036 года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, обеспечения реализ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ации Стратегии пространственного развития </w:t>
        <w:br/>
        <w:t xml:space="preserve">Российской Федерации на период до 2030 года с прогнозом до 2036 года, утвержденной распоряжением Правительства Российской Федерации </w:t>
        <w:br/>
        <w:t xml:space="preserve">от 28 декабря 2024 г. № 4146-р и распоряжением Правительства </w:t>
        <w:br/>
        <w:t xml:space="preserve">Российской Федерации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от 11 августа 2025 года № 2149-р утвержден План реализации Стратегии пространственного развития Российской Федерации </w:t>
        <w:br/>
        <w:t xml:space="preserve">на период до 2030 года с прогнозом до 2036 года</w:t>
      </w:r>
      <w:r>
        <w:rPr>
          <w:rFonts w:ascii="Times New Roman" w:hAnsi="Times New Roman" w:cs="Calibri"/>
          <w:sz w:val="28"/>
          <w:szCs w:val="28"/>
        </w:rPr>
        <w:t xml:space="preserve"> (далее – Стратегия).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Стратегии развития строительной отрасли и жилищно-коммунального хозяйства Российской Федерации на период до 2030 года </w:t>
        <w:br/>
        <w:t xml:space="preserve">с прогнозом до 2035 год</w:t>
      </w:r>
      <w:r>
        <w:rPr>
          <w:rFonts w:ascii="Times New Roman" w:hAnsi="Times New Roman" w:cs="Times New Roman"/>
          <w:sz w:val="28"/>
          <w:szCs w:val="28"/>
        </w:rPr>
        <w:t xml:space="preserve">а, утвержденной распоряжением Правительства Российской Федерации от 31 октября 2022 г. № 3268-р (далее – Стратегия развития ЖКХ), актуальной остается проблема ветшания объектов коммунального хозяйства, в том числе, сетей инженерно-технического обеспечения.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Более 40 процентов линейных объектов сферы жилищно-коммунального хозяйства нуждается в замене (394 из 949 тыс. километров сетей), в том числе: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сетей водоснабжения 43,2 процента (250 тыс. километров из 579 тыс. километров);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сетей теплоснабжения 30,6 процентов (51 тыс. километров из 167 тыс. километров);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сетей водоотведения 46 процентов (93 тыс. километров из 203 тыс. километров).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 около 3 процентов сетей теплоснабжения, водоснабжения и водоотведения признается аварийными, при этом обновляется не более 1 - 2 процентов.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предотвращения дег</w:t>
      </w:r>
      <w:r>
        <w:rPr>
          <w:rFonts w:ascii="Times New Roman" w:hAnsi="Times New Roman" w:cs="Times New Roman"/>
          <w:sz w:val="28"/>
          <w:szCs w:val="28"/>
        </w:rPr>
        <w:t xml:space="preserve">радации систем инженерно-технического обеспечения необходимо для ускоренного обновления основных фондов жилищно-коммунального хозяйства обеспечить ежегодный уровень замены сетей инженерно-технического обеспечения не ниже 5 процентов их общей протяженности.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Отставание темпов замены сетей инженерно-технического обеспечения от требуемого согласно нормативному сроку их службы являются следствием значительного </w:t>
      </w:r>
      <w:r>
        <w:rPr>
          <w:rFonts w:ascii="Times New Roman" w:hAnsi="Times New Roman" w:cs="Times New Roman"/>
          <w:sz w:val="28"/>
          <w:szCs w:val="28"/>
        </w:rPr>
        <w:t xml:space="preserve">недоинвестирования</w:t>
      </w:r>
      <w:r>
        <w:rPr>
          <w:rFonts w:ascii="Times New Roman" w:hAnsi="Times New Roman" w:cs="Times New Roman"/>
          <w:sz w:val="28"/>
          <w:szCs w:val="28"/>
        </w:rPr>
        <w:t xml:space="preserve"> отрасли ЖКХ.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Правила предусматривают предоставление финансирования на объекты коммунальной инфраструктуры на территориях субъектов Российской Федерации и г. Байконура, находящиеся</w:t>
      </w:r>
      <w:r>
        <w:rPr>
          <w:rFonts w:ascii="Times New Roman" w:hAnsi="Times New Roman" w:cs="Times New Roman"/>
          <w:sz w:val="28"/>
          <w:szCs w:val="28"/>
        </w:rPr>
        <w:t xml:space="preserve"> исключительно в государственной собственности субъекта </w:t>
        <w:br/>
        <w:t xml:space="preserve">Российской Федерации или муниципальной собственности, а также находящиеся в соответствии с международными договорами </w:t>
        <w:br/>
        <w:t xml:space="preserve">и международными соглашениями во владении и пользовании администрации г. Байконура.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Правила не позволяют использовать средства федерального бюджета на реализацию мероприятий по модернизации (реконструкции) объектов, находящихся в частной собственности.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этом, коммунальная инфраструктура имеет сложную систему элементов, которые могут принадлежать разным собственникам, </w:t>
        <w:br/>
        <w:t xml:space="preserve">но обеспечивать необходимыми ресурсами одного потребителя. </w:t>
        <w:br/>
        <w:t xml:space="preserve">Так, источники тепловой энергии, находящиеся в частной соб</w:t>
      </w:r>
      <w:r>
        <w:rPr>
          <w:rFonts w:ascii="Times New Roman" w:hAnsi="Times New Roman" w:cs="Times New Roman"/>
          <w:sz w:val="28"/>
          <w:szCs w:val="28"/>
        </w:rPr>
        <w:t xml:space="preserve">ственности, могут обеспечить поставку произведенных на них тепловой энергии и горячей воды только посредством тепловых сетей, которые находятся в управлении организаций, находящихся в государственной и муниципальной власти, </w:t>
        <w:br/>
        <w:t xml:space="preserve">и наоборот. Соответственно, надл</w:t>
      </w:r>
      <w:r>
        <w:rPr>
          <w:rFonts w:ascii="Times New Roman" w:hAnsi="Times New Roman" w:cs="Times New Roman"/>
          <w:sz w:val="28"/>
          <w:szCs w:val="28"/>
        </w:rPr>
        <w:t xml:space="preserve">ежащее состояние коммунальной инфраструктуры – это первостепенная задача, как для хозяйствующих субъектов различных форм собственности, так органов государственной </w:t>
        <w:br/>
        <w:t xml:space="preserve">и муниципальной власти, ответственных за обеспечение потребителей энергетическими ресурсами.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Например, структура собственности в организациях, обеспечивающих, например, теплоснабжение, по данным отчета Российского энергетического агент</w:t>
      </w:r>
      <w:r>
        <w:rPr>
          <w:rFonts w:ascii="Times New Roman" w:hAnsi="Times New Roman" w:cs="Times New Roman"/>
          <w:sz w:val="28"/>
          <w:szCs w:val="28"/>
        </w:rPr>
        <w:t xml:space="preserve">ства Минэнерго России о состоянии теплоэнергетики </w:t>
        <w:br/>
        <w:t xml:space="preserve">и централизованного теплоснабжения в Российской Федерации в 2023 году, следующая: в 2023 году 73% организаций теплоснабжения функционировали в рамках государственной и муниципальной форм собственности, но, </w:t>
      </w:r>
      <w:r>
        <w:rPr>
          <w:rFonts w:ascii="Times New Roman" w:hAnsi="Times New Roman" w:cs="Times New Roman"/>
          <w:sz w:val="28"/>
          <w:szCs w:val="28"/>
        </w:rPr>
        <w:t xml:space="preserve">несмотря на преобладание в количественном выражении, их доля в общей мощности источников </w:t>
      </w:r>
      <w:r>
        <w:rPr>
          <w:rFonts w:ascii="Times New Roman" w:hAnsi="Times New Roman" w:cs="Times New Roman"/>
          <w:sz w:val="28"/>
          <w:szCs w:val="28"/>
        </w:rPr>
        <w:t xml:space="preserve">теплоснабжения составляет лишь 160,9 тыс. Гкал/ч (28,2%) мощности источников теплоснабжения. В свою очередь, 71,8% совокупной тепловой мощности приходится на организации, находящиеся </w:t>
        <w:br/>
        <w:t xml:space="preserve">в частной собственности, а также иных формах владения, включая смешанные.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предоставления возможности равного доступа к участию </w:t>
        <w:br/>
        <w:t xml:space="preserve">в Госпрограмме субъектов теплоэнергетики, водоснабжения и водоотведения необходимо скорректировать Правила, установив, что </w:t>
      </w:r>
      <w:r>
        <w:rPr>
          <w:rFonts w:ascii="Times New Roman" w:hAnsi="Times New Roman" w:cs="Times New Roman"/>
          <w:sz w:val="28"/>
          <w:szCs w:val="28"/>
        </w:rPr>
        <w:t xml:space="preserve">софинансирование</w:t>
      </w:r>
      <w:r>
        <w:rPr>
          <w:rFonts w:ascii="Times New Roman" w:hAnsi="Times New Roman" w:cs="Times New Roman"/>
          <w:sz w:val="28"/>
          <w:szCs w:val="28"/>
        </w:rPr>
        <w:t xml:space="preserve"> мероприятий возможно при проведении работ на объектах всех форм собственности.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</w:t>
      </w:r>
      <w:r>
        <w:rPr>
          <w:rFonts w:ascii="Times New Roman" w:hAnsi="Times New Roman" w:cs="Times New Roman"/>
          <w:sz w:val="28"/>
          <w:szCs w:val="28"/>
        </w:rPr>
        <w:t xml:space="preserve">Белгородс</w:t>
      </w:r>
      <w:r>
        <w:rPr>
          <w:rFonts w:ascii="Times New Roman" w:hAnsi="Times New Roman" w:cs="Times New Roman"/>
          <w:sz w:val="28"/>
          <w:szCs w:val="28"/>
        </w:rPr>
        <w:t xml:space="preserve">кой, </w:t>
      </w:r>
      <w:r>
        <w:rPr>
          <w:rFonts w:ascii="Times New Roman" w:hAnsi="Times New Roman" w:cs="Times New Roman"/>
          <w:sz w:val="28"/>
          <w:szCs w:val="28"/>
        </w:rPr>
        <w:t xml:space="preserve">Томск</w:t>
      </w:r>
      <w:r>
        <w:rPr>
          <w:rFonts w:ascii="Times New Roman" w:hAnsi="Times New Roman" w:cs="Times New Roman"/>
          <w:sz w:val="28"/>
          <w:szCs w:val="28"/>
        </w:rPr>
        <w:t xml:space="preserve">ой,</w:t>
      </w:r>
      <w:r>
        <w:rPr>
          <w:rFonts w:ascii="Times New Roman" w:hAnsi="Times New Roman" w:cs="Times New Roman"/>
          <w:sz w:val="28"/>
          <w:szCs w:val="28"/>
        </w:rPr>
        <w:t xml:space="preserve"> Липецк</w:t>
      </w:r>
      <w:r>
        <w:rPr>
          <w:rFonts w:ascii="Times New Roman" w:hAnsi="Times New Roman" w:cs="Times New Roman"/>
          <w:sz w:val="28"/>
          <w:szCs w:val="28"/>
        </w:rPr>
        <w:t xml:space="preserve">ой, </w:t>
      </w:r>
      <w:r>
        <w:rPr>
          <w:rFonts w:ascii="Times New Roman" w:hAnsi="Times New Roman" w:cs="Times New Roman"/>
          <w:sz w:val="28"/>
          <w:szCs w:val="28"/>
        </w:rPr>
        <w:t xml:space="preserve">Архангельск</w:t>
      </w:r>
      <w:r>
        <w:rPr>
          <w:rFonts w:ascii="Times New Roman" w:hAnsi="Times New Roman" w:cs="Times New Roman"/>
          <w:sz w:val="28"/>
          <w:szCs w:val="28"/>
        </w:rPr>
        <w:t xml:space="preserve">ой, </w:t>
      </w:r>
      <w:r>
        <w:rPr>
          <w:rFonts w:ascii="Times New Roman" w:hAnsi="Times New Roman" w:cs="Times New Roman"/>
          <w:sz w:val="28"/>
          <w:szCs w:val="28"/>
        </w:rPr>
        <w:t xml:space="preserve">Ростовск</w:t>
      </w:r>
      <w:r>
        <w:rPr>
          <w:rFonts w:ascii="Times New Roman" w:hAnsi="Times New Roman" w:cs="Times New Roman"/>
          <w:sz w:val="28"/>
          <w:szCs w:val="28"/>
        </w:rPr>
        <w:t xml:space="preserve">ой, </w:t>
      </w:r>
      <w:r>
        <w:rPr>
          <w:rFonts w:ascii="Times New Roman" w:hAnsi="Times New Roman" w:cs="Times New Roman"/>
          <w:sz w:val="28"/>
          <w:szCs w:val="28"/>
        </w:rPr>
        <w:t xml:space="preserve">Вологодск</w:t>
      </w:r>
      <w:r>
        <w:rPr>
          <w:rFonts w:ascii="Times New Roman" w:hAnsi="Times New Roman" w:cs="Times New Roman"/>
          <w:sz w:val="28"/>
          <w:szCs w:val="28"/>
        </w:rPr>
        <w:t xml:space="preserve">ой, Орловской и </w:t>
      </w:r>
      <w:r>
        <w:rPr>
          <w:rFonts w:ascii="Times New Roman" w:hAnsi="Times New Roman" w:cs="Times New Roman"/>
          <w:sz w:val="28"/>
          <w:szCs w:val="28"/>
        </w:rPr>
        <w:t xml:space="preserve">Ярославск</w:t>
      </w:r>
      <w:r>
        <w:rPr>
          <w:rFonts w:ascii="Times New Roman" w:hAnsi="Times New Roman" w:cs="Times New Roman"/>
          <w:sz w:val="28"/>
          <w:szCs w:val="28"/>
        </w:rPr>
        <w:t xml:space="preserve">ой областями, Республиками Алтай, Калмыкия, Татарстан, Мордовия и Тыва, городом Санкт-Петербург, </w:t>
      </w:r>
      <w:r>
        <w:rPr>
          <w:rFonts w:ascii="Times New Roman" w:hAnsi="Times New Roman" w:cs="Times New Roman"/>
          <w:sz w:val="28"/>
          <w:szCs w:val="28"/>
        </w:rPr>
        <w:t xml:space="preserve">Ямало-Ненецки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 автономны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 xml:space="preserve">ом, </w:t>
      </w:r>
      <w:r>
        <w:rPr>
          <w:rFonts w:ascii="Times New Roman" w:hAnsi="Times New Roman" w:cs="Times New Roman"/>
          <w:sz w:val="28"/>
          <w:szCs w:val="28"/>
        </w:rPr>
        <w:t xml:space="preserve">Ставропольски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 кра</w:t>
      </w:r>
      <w:r>
        <w:rPr>
          <w:rFonts w:ascii="Times New Roman" w:hAnsi="Times New Roman" w:cs="Times New Roman"/>
          <w:sz w:val="28"/>
          <w:szCs w:val="28"/>
        </w:rPr>
        <w:t xml:space="preserve">ем, а также Кабардино-Балкарская Республикой представлена информация о нахождении более 50% об общего числа объектов тепло, водоснабжения </w:t>
      </w:r>
      <w:r>
        <w:rPr>
          <w:rFonts w:ascii="Times New Roman" w:hAnsi="Times New Roman" w:cs="Times New Roman"/>
          <w:sz w:val="28"/>
          <w:szCs w:val="28"/>
        </w:rPr>
        <w:br/>
        <w:t xml:space="preserve">и водоотведения, расположенных на территории указанных субъектов Российской Федерации, в частной собственности.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Проектом постановления вносятся изменения</w:t>
      </w:r>
      <w:r>
        <w:rPr>
          <w:rFonts w:ascii="Times New Roman" w:hAnsi="Times New Roman" w:cs="Times New Roman"/>
          <w:sz w:val="28"/>
          <w:szCs w:val="28"/>
        </w:rPr>
        <w:t xml:space="preserve"> в условия заключения соглашений между Министерством строительства и жилищно-коммунального хозяйства Российской Федерации и высшим исполнительным органом субъекта Российской Федерации (за исключением соглашений, заключаемых с высшими исполнительными органа</w:t>
      </w:r>
      <w:r>
        <w:rPr>
          <w:rFonts w:ascii="Times New Roman" w:hAnsi="Times New Roman" w:cs="Times New Roman"/>
          <w:sz w:val="28"/>
          <w:szCs w:val="28"/>
        </w:rPr>
        <w:t xml:space="preserve">ми Донецкой Народной Республики, Луганской Народной Республики, Запорожской области и Херсонской области), являющихся основанием привлечения средств Субсидий </w:t>
        <w:br/>
        <w:t xml:space="preserve">на финансирование реализации мероприятий по модернизации коммунальной инфраструктуры, в частности: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заменяется источник данных для мониторинга платежной дисциплины потребителей коммунальных услуг (коммунальных ресурсов) с годовой бухгалтерской отчетности </w:t>
      </w:r>
      <w:r>
        <w:rPr>
          <w:rFonts w:ascii="Times New Roman" w:hAnsi="Times New Roman" w:cs="Times New Roman"/>
          <w:sz w:val="28"/>
          <w:szCs w:val="28"/>
        </w:rPr>
        <w:t xml:space="preserve">ресурсоснабжающих</w:t>
      </w:r>
      <w:r>
        <w:rPr>
          <w:rFonts w:ascii="Times New Roman" w:hAnsi="Times New Roman" w:cs="Times New Roman"/>
          <w:sz w:val="28"/>
          <w:szCs w:val="28"/>
        </w:rPr>
        <w:t xml:space="preserve"> организаций (далее – РСО) </w:t>
        <w:br/>
        <w:t xml:space="preserve">на формы отчетов по мониторингу платежной дисциплины потребителей коммунальных услуг из автоматизированной информационной системы, утвержденные приказом Минстроя РФ от 28 февраля 2022 г. № 126/</w:t>
      </w:r>
      <w:r>
        <w:rPr>
          <w:rFonts w:ascii="Times New Roman" w:hAnsi="Times New Roman" w:cs="Times New Roman"/>
          <w:sz w:val="28"/>
          <w:szCs w:val="28"/>
        </w:rPr>
        <w:t xml:space="preserve">пр</w:t>
      </w:r>
      <w:r>
        <w:rPr>
          <w:rFonts w:ascii="Times New Roman" w:hAnsi="Times New Roman" w:cs="Times New Roman"/>
          <w:sz w:val="28"/>
          <w:szCs w:val="28"/>
        </w:rPr>
        <w:t xml:space="preserve"> </w:t>
        <w:br/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рекомендуемых требований к заполнению форм отчетов </w:t>
        <w:br/>
        <w:t xml:space="preserve">по мониторингу платежной дисциплины потребителей коммунальных услуг (коммунальных ресурсов)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. Это позволит не зависеть от сроков подготовки годовой бухгалтерской отчетности РСО, повысит оперативность и широту данных и даст возможность их автоматизированного использования;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учитываются особенности в ценовых зонах теплоснабжения, в которых роль инвестиционных программ выполняют соглашения об исполнении схемы теплоснабжения.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уточняется обязательство субъекта Российской Федерации по утверждению инвестиционных программ. Так, в случае если получателем субсидии является сторона концессионного соглашения, то такая программа </w:t>
      </w:r>
      <w:r>
        <w:rPr>
          <w:rFonts w:ascii="Times New Roman" w:hAnsi="Times New Roman" w:cs="Times New Roman"/>
          <w:sz w:val="28"/>
          <w:szCs w:val="28"/>
        </w:rPr>
        <w:t xml:space="preserve">должна быть утверждена в 12-месячный срок с даты заключения концессионного соглашения, указанные изменения необходимы в целях обязанности концессионера (введена с 01 сентября 2025 г. федеральным законом от 28 февраля 2025 г. № 22-ФЗ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</w:t>
        <w:br/>
        <w:t xml:space="preserve">в Федеральный закон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 концессионных соглашениях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) утвердить инвестиционную программу в течение 12 месяцев с момента заключения концессионного соглашения. На концессионные соглашения, заключенные до </w:t>
      </w:r>
      <w:r>
        <w:rPr>
          <w:rFonts w:ascii="Times New Roman" w:hAnsi="Times New Roman" w:cs="Times New Roman"/>
          <w:sz w:val="28"/>
          <w:szCs w:val="28"/>
        </w:rPr>
        <w:t xml:space="preserve">вступления в силу указанного закона, положение об утверждении инвестиционной программы в течение 12 месяцев не распространяется, соответственно для них будут действовать общие требования о наличии утвержденных инвестиционных программ (начиная с 2026 года).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Предлагается уменьшить показатель реализации инвестиционных программ со 100 % до 95 %, поскольку  реализация в полном объеме инвестиционных программ практически недостижима, ввиду  объективных причин, препятствующих </w:t>
      </w:r>
      <w:r>
        <w:rPr>
          <w:rFonts w:ascii="Times New Roman" w:hAnsi="Times New Roman" w:cs="Times New Roman"/>
          <w:sz w:val="28"/>
          <w:szCs w:val="28"/>
        </w:rPr>
        <w:t xml:space="preserve">ресурсоснабжающим</w:t>
      </w:r>
      <w:r>
        <w:rPr>
          <w:rFonts w:ascii="Times New Roman" w:hAnsi="Times New Roman" w:cs="Times New Roman"/>
          <w:sz w:val="28"/>
          <w:szCs w:val="28"/>
        </w:rPr>
        <w:t xml:space="preserve"> организациям достичь 100% исполнения инвестиционных программ  (на</w:t>
      </w:r>
      <w:r>
        <w:rPr>
          <w:rFonts w:ascii="Times New Roman" w:hAnsi="Times New Roman" w:cs="Times New Roman"/>
          <w:sz w:val="28"/>
          <w:szCs w:val="28"/>
        </w:rPr>
        <w:t xml:space="preserve">пример, при условии изменения экономической ситуации, экономии на закупочных процедурах, замене мероприятий, обстоятельствах непреодолимой силы либо при проведении внеплановых аварийно-восстановительных работ и т.д.) (изменения в абзац четвертый подпункта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пункта 7).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Уточняются обязательства субъекта Российской Федерации, касающиеся соблюдения значения индекса измен</w:t>
      </w:r>
      <w:r>
        <w:rPr>
          <w:rFonts w:ascii="Times New Roman" w:hAnsi="Times New Roman" w:cs="Times New Roman"/>
          <w:sz w:val="28"/>
          <w:szCs w:val="28"/>
        </w:rPr>
        <w:t xml:space="preserve">ения размера вносимой гражданами платы за коммунальные услуги в среднем по субъекту Российской Федерации, поскольку фактическое изменение стоимости коммунальных услуг систематически складывается ниже указанного предельного индекса. Зачастую это приводит к </w:t>
      </w:r>
      <w:r>
        <w:rPr>
          <w:rFonts w:ascii="Times New Roman" w:hAnsi="Times New Roman" w:cs="Times New Roman"/>
          <w:sz w:val="28"/>
          <w:szCs w:val="28"/>
        </w:rPr>
        <w:t xml:space="preserve">недофинансированности</w:t>
      </w:r>
      <w:r>
        <w:rPr>
          <w:rFonts w:ascii="Times New Roman" w:hAnsi="Times New Roman" w:cs="Times New Roman"/>
          <w:sz w:val="28"/>
          <w:szCs w:val="28"/>
        </w:rPr>
        <w:t xml:space="preserve"> мероприятий </w:t>
        <w:br/>
        <w:t xml:space="preserve">по обновлению коммунальной инфраструктуры.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Формулировка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значения индекса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более корректная, чем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 достижении фактического значения индекса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. Замена слов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не менее 100 процентов значения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словами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равного значению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позволит проводить индексацию более плавной для потребителей, без превышения размера предельного индекса, установленного для субъекта Российской Федерации. (изменения в абзаце пятом подпункта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пункта 7).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Уточняются требования к обязательствам субъекта </w:t>
        <w:br/>
        <w:t xml:space="preserve">Российской Федерации по ежегодному снижению не менее чем на 3 процента времени, затраченного на восстановление </w:t>
      </w:r>
      <w:r>
        <w:rPr>
          <w:rFonts w:ascii="Times New Roman" w:hAnsi="Times New Roman" w:cs="Times New Roman"/>
          <w:sz w:val="28"/>
          <w:szCs w:val="28"/>
        </w:rPr>
        <w:t xml:space="preserve">работоспособности  </w:t>
        <w:br/>
        <w:t xml:space="preserve">сетей</w:t>
      </w:r>
      <w:r>
        <w:rPr>
          <w:rFonts w:ascii="Times New Roman" w:hAnsi="Times New Roman" w:cs="Times New Roman"/>
          <w:sz w:val="28"/>
          <w:szCs w:val="28"/>
        </w:rPr>
        <w:t xml:space="preserve"> коммунальной инфраструктуры, а именно предлагается заменить слово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среднего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медианного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, поскольку среднее значение высоко чувствительно к значениям показателя, сильно отличающимся от остальных. Такие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выбросы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значений искажают результат, так как среднее значение учитывает все значения.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Медианное значение менее чувствительно к таким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выбросам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значений. Оно фокусируется исключительно на позиции в ряду, игнорируя величину </w:t>
      </w:r>
      <w:r>
        <w:rPr>
          <w:rFonts w:ascii="Times New Roman" w:hAnsi="Times New Roman" w:cs="Times New Roman"/>
          <w:sz w:val="28"/>
          <w:szCs w:val="28"/>
        </w:rPr>
        <w:t xml:space="preserve">крайних значений. Это предложение позволит более точно отражать реальность (изменения в абзаце шестом подпункта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пункта 7).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Предлагается исключить предельный срок (до 1 января 2026 г.) установления единых на территории субъекта Российской Федерации нормативов потребления коммунальных услуг и нормативов потребления коммунальных ресурсов, поскольку реализация указанных мер в с</w:t>
      </w:r>
      <w:r>
        <w:rPr>
          <w:rFonts w:ascii="Times New Roman" w:hAnsi="Times New Roman" w:cs="Times New Roman"/>
          <w:sz w:val="28"/>
          <w:szCs w:val="28"/>
        </w:rPr>
        <w:t xml:space="preserve">жатые сроки (до 01.01.2026) приведет к резкому изменению их размера. Необходимо плавное, сглаженное изменение нормативов в целях постепенного </w:t>
        <w:br/>
        <w:t xml:space="preserve">их сближения к единому значению на территории субъекта </w:t>
        <w:br/>
        <w:t xml:space="preserve">Российской Федерации (изменения в абзаце восьмом подпункта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пункта 7).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Предлагается изменить редакцию абзаца десятого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 создании </w:t>
      </w:r>
      <w:r>
        <w:rPr>
          <w:rFonts w:ascii="Times New Roman" w:hAnsi="Times New Roman" w:cs="Times New Roman"/>
          <w:sz w:val="28"/>
          <w:szCs w:val="28"/>
        </w:rPr>
        <w:br/>
        <w:t xml:space="preserve">к 1 января 2027 г. в субъекте Российской Федерации единого расчетного центра для расчетов за жилищно-коммунальные услуги.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, поскольку создание такого центра не всегда является оправданным, так как во многих случаях прямое перечисление средств непосредственно в адрес </w:t>
      </w:r>
      <w:r>
        <w:rPr>
          <w:rFonts w:ascii="Times New Roman" w:hAnsi="Times New Roman" w:cs="Times New Roman"/>
          <w:sz w:val="28"/>
          <w:szCs w:val="28"/>
        </w:rPr>
        <w:t xml:space="preserve">ресурсоснабжающих</w:t>
      </w:r>
      <w:r>
        <w:rPr>
          <w:rFonts w:ascii="Times New Roman" w:hAnsi="Times New Roman" w:cs="Times New Roman"/>
          <w:sz w:val="28"/>
          <w:szCs w:val="28"/>
        </w:rPr>
        <w:t xml:space="preserve"> организаций является эффективным и обеспечивает собираемость на высоком уровне.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Соответственно разработка плана мероприятий по по</w:t>
      </w:r>
      <w:r>
        <w:rPr>
          <w:rFonts w:ascii="Times New Roman" w:hAnsi="Times New Roman" w:cs="Times New Roman"/>
          <w:sz w:val="28"/>
          <w:szCs w:val="28"/>
        </w:rPr>
        <w:t xml:space="preserve">вышению уровня собираемости платежей за жилое помещение и коммунальные услуги, включая мероприятия по привлечению расчетных центров к формированию платежных документов за жилое помещение и коммунальные услуги, необходима только в случае реального снижения </w:t>
      </w:r>
      <w:r>
        <w:rPr>
          <w:rFonts w:ascii="Times New Roman" w:hAnsi="Times New Roman" w:cs="Times New Roman"/>
          <w:sz w:val="28"/>
          <w:szCs w:val="28"/>
        </w:rPr>
        <w:t xml:space="preserve">собираемости платежей за жилое помещение и коммунальные услуги, в качестве такого критерия предлагается определить снижение собираемости более чем на 1 % </w:t>
        <w:br/>
        <w:t xml:space="preserve">по сравнению с аналогичным показателем за год, предшествующий отчетному году в сопоставимых условиях.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 создание единых расчетных центров само по себе не означает их привлечение к расчетам с потребителями, поэтому предлагается вместо мероприятия по созданию центров, предусмотреть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мероприятия </w:t>
        <w:br/>
        <w:t xml:space="preserve">по привлечению расчетных центров к формированию платежных документов за жилое помещение и коммунальные услуги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предлагается дополнить новыми положениями, касающимися обязательств субъектов Российской Федерации (подпункт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пункта 7):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 утверждении тарифов в сферах теплоснабжения, вод</w:t>
      </w:r>
      <w:r>
        <w:rPr>
          <w:rFonts w:ascii="Times New Roman" w:hAnsi="Times New Roman" w:cs="Times New Roman"/>
          <w:sz w:val="28"/>
          <w:szCs w:val="28"/>
        </w:rPr>
        <w:t xml:space="preserve">оснабжения </w:t>
        <w:br/>
        <w:t xml:space="preserve">и водоотведения, а также в соглашениях об исполнении схем теплоснабжения в ценовых зонах теплоснабжения, ежегодно предусматривать дополнительные источники финансирования мероприятий, указанных в пункте 1 Правил, помимо установленных в подпункте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б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пункта 7 Правил внебюджетных источников, в размере не менее 1,5% от необходимой валовой выручки </w:t>
      </w:r>
      <w:r>
        <w:rPr>
          <w:rFonts w:ascii="Times New Roman" w:hAnsi="Times New Roman" w:cs="Times New Roman"/>
          <w:sz w:val="28"/>
          <w:szCs w:val="28"/>
        </w:rPr>
        <w:t xml:space="preserve">ресурсоснабжающих</w:t>
      </w:r>
      <w:r>
        <w:rPr>
          <w:rFonts w:ascii="Times New Roman" w:hAnsi="Times New Roman" w:cs="Times New Roman"/>
          <w:sz w:val="28"/>
          <w:szCs w:val="28"/>
        </w:rPr>
        <w:t xml:space="preserve"> организаций дополнительно.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Указанная мера разработана во исполнение прогноза социально-экономического развития Российской Федерации на 2025 год и на плановый период 2026 и 2027 годов, в разделе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Индекс изменения платы граждан </w:t>
        <w:br/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коммунальные услуги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которого предусмотрено, что </w:t>
        <w:br/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... в период 2025-2027 гг. при утверждении тарифов в сферах теплоснабжения, водоснабжения и водоотведения для </w:t>
      </w:r>
      <w:r>
        <w:rPr>
          <w:rFonts w:ascii="Times New Roman" w:hAnsi="Times New Roman" w:cs="Times New Roman"/>
          <w:sz w:val="28"/>
          <w:szCs w:val="28"/>
        </w:rPr>
        <w:t xml:space="preserve">ресурсоснабжающих</w:t>
      </w:r>
      <w:r>
        <w:rPr>
          <w:rFonts w:ascii="Times New Roman" w:hAnsi="Times New Roman" w:cs="Times New Roman"/>
          <w:sz w:val="28"/>
          <w:szCs w:val="28"/>
        </w:rPr>
        <w:t xml:space="preserve"> организаций будет сформирована дополнительная выручка под реализацию инвестиционных программ и проектов по модернизации коммунальной инфраструктуры (дополнительно 1,5 % к выручке ежегодно)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включению в мероприятия, реализуемые в рамках комплексных планов субъектов Российской Федерации по модернизации коммунально</w:t>
      </w:r>
      <w:r>
        <w:rPr>
          <w:rFonts w:ascii="Times New Roman" w:hAnsi="Times New Roman" w:cs="Times New Roman"/>
          <w:sz w:val="28"/>
          <w:szCs w:val="28"/>
        </w:rPr>
        <w:t xml:space="preserve">й инфраструктуры, должны быть предусмотрены в схеме тепло-, водоснабжения и водоотведения, поскольку они являются единственным объективным обосновывающим документом для разработки проектной документации </w:t>
        <w:br/>
        <w:t xml:space="preserve">по модернизации объектов коммунальной инфраструктуры.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/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Также проектом расширяется возможность направления средств Субсидий на реализацию концессионных соглашений.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Положения проекта постановления соответствуют положениям Договора о Евразийском экономическом союзе и иных международных договоров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постановления не содержит положений, влекущих негативные социально-экономические, финансовые и иные последствия, в том числе </w:t>
      </w:r>
      <w:r>
        <w:rPr>
          <w:rFonts w:ascii="Times New Roman" w:hAnsi="Times New Roman" w:cs="Times New Roman"/>
          <w:sz w:val="28"/>
          <w:szCs w:val="28"/>
        </w:rPr>
        <w:br/>
        <w:t xml:space="preserve">для субъектов предпринимательской и иной экономической деятельности.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Предлагаемые в проекте постановления решения окажут положительное влияние на реализацию Госпрограммы.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проекте постановления отсутствуют требования, которые связаны </w:t>
      </w:r>
      <w:r>
        <w:rPr>
          <w:rFonts w:ascii="Times New Roman" w:hAnsi="Times New Roman" w:cs="Times New Roman"/>
          <w:sz w:val="28"/>
          <w:szCs w:val="28"/>
        </w:rPr>
        <w:br/>
        <w:t xml:space="preserve">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(надзора), муниципального контроля, привлечения </w:t>
      </w:r>
      <w:r>
        <w:rPr>
          <w:rFonts w:ascii="Times New Roman" w:hAnsi="Times New Roman" w:cs="Times New Roman"/>
          <w:sz w:val="28"/>
          <w:szCs w:val="28"/>
        </w:rPr>
        <w:br/>
        <w:t xml:space="preserve">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проекта постановления будет осуществляться в пределах средств бюджетов бюджетной системы Российской Федерации, предусмотренных на соответствующий финансовый год и на плановый период, и не потребует выделения дополнительных бюджетных ассигнований.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постановления не содержит положений, которыми устанавливаются, изменяются или отменяются обязательные требования </w:t>
      </w:r>
      <w:r>
        <w:rPr>
          <w:rFonts w:ascii="Times New Roman" w:hAnsi="Times New Roman" w:cs="Times New Roman"/>
          <w:sz w:val="28"/>
          <w:szCs w:val="28"/>
        </w:rPr>
        <w:br/>
        <w:t xml:space="preserve">в соответствии с Федеральным законом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Об обязательных требованиях </w:t>
      </w:r>
      <w:r>
        <w:rPr>
          <w:rFonts w:ascii="Times New Roman" w:hAnsi="Times New Roman" w:cs="Times New Roman"/>
          <w:sz w:val="28"/>
          <w:szCs w:val="28"/>
        </w:rPr>
        <w:br/>
        <w:t xml:space="preserve">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постановления не содержит положений, требующих принятия, изменения, приостановления или признания утратившими силу иных правовых актов Правительства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33299913"/>
      <w:docPartObj>
        <w:docPartGallery w:val="Page Numbers (Top of Page)"/>
        <w:docPartUnique w:val="true"/>
      </w:docPartObj>
      <w:rPr/>
    </w:sdtPr>
    <w:sdtContent>
      <w:p>
        <w:pPr>
          <w:pStyle w:val="86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5</w:t>
        </w:r>
        <w:r>
          <w:fldChar w:fldCharType="end"/>
        </w:r>
        <w:r/>
      </w:p>
    </w:sdtContent>
  </w:sdt>
  <w:p>
    <w:pPr>
      <w:pStyle w:val="86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95"/>
    <w:link w:val="686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95"/>
    <w:link w:val="687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95"/>
    <w:link w:val="688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95"/>
    <w:link w:val="68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95"/>
    <w:link w:val="690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95"/>
    <w:link w:val="691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95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95"/>
    <w:link w:val="693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95"/>
    <w:link w:val="694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95"/>
    <w:link w:val="707"/>
    <w:uiPriority w:val="10"/>
    <w:rPr>
      <w:sz w:val="48"/>
      <w:szCs w:val="48"/>
    </w:rPr>
  </w:style>
  <w:style w:type="character" w:styleId="37">
    <w:name w:val="Subtitle Char"/>
    <w:basedOn w:val="695"/>
    <w:link w:val="709"/>
    <w:uiPriority w:val="11"/>
    <w:rPr>
      <w:sz w:val="24"/>
      <w:szCs w:val="24"/>
    </w:rPr>
  </w:style>
  <w:style w:type="character" w:styleId="39">
    <w:name w:val="Quote Char"/>
    <w:link w:val="711"/>
    <w:uiPriority w:val="29"/>
    <w:rPr>
      <w:i/>
    </w:rPr>
  </w:style>
  <w:style w:type="character" w:styleId="41">
    <w:name w:val="Intense Quote Char"/>
    <w:link w:val="713"/>
    <w:uiPriority w:val="30"/>
    <w:rPr>
      <w:i/>
    </w:rPr>
  </w:style>
  <w:style w:type="character" w:styleId="176">
    <w:name w:val="Footnote Text Char"/>
    <w:link w:val="846"/>
    <w:uiPriority w:val="99"/>
    <w:rPr>
      <w:sz w:val="18"/>
    </w:rPr>
  </w:style>
  <w:style w:type="character" w:styleId="179">
    <w:name w:val="Endnote Text Char"/>
    <w:link w:val="849"/>
    <w:uiPriority w:val="99"/>
    <w:rPr>
      <w:sz w:val="20"/>
    </w:rPr>
  </w:style>
  <w:style w:type="paragraph" w:styleId="685" w:default="1">
    <w:name w:val="Normal"/>
    <w:qFormat/>
  </w:style>
  <w:style w:type="paragraph" w:styleId="686">
    <w:name w:val="Heading 1"/>
    <w:basedOn w:val="685"/>
    <w:next w:val="685"/>
    <w:link w:val="69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87">
    <w:name w:val="Heading 2"/>
    <w:basedOn w:val="685"/>
    <w:next w:val="685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88">
    <w:name w:val="Heading 3"/>
    <w:basedOn w:val="685"/>
    <w:next w:val="685"/>
    <w:link w:val="70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9">
    <w:name w:val="Heading 4"/>
    <w:basedOn w:val="685"/>
    <w:next w:val="685"/>
    <w:link w:val="70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0">
    <w:name w:val="Heading 5"/>
    <w:basedOn w:val="685"/>
    <w:next w:val="685"/>
    <w:link w:val="70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1">
    <w:name w:val="Heading 6"/>
    <w:basedOn w:val="685"/>
    <w:next w:val="685"/>
    <w:link w:val="70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92">
    <w:name w:val="Heading 7"/>
    <w:basedOn w:val="685"/>
    <w:next w:val="685"/>
    <w:link w:val="70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93">
    <w:name w:val="Heading 8"/>
    <w:basedOn w:val="685"/>
    <w:next w:val="685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94">
    <w:name w:val="Heading 9"/>
    <w:basedOn w:val="685"/>
    <w:next w:val="685"/>
    <w:link w:val="70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5" w:default="1">
    <w:name w:val="Default Paragraph Font"/>
    <w:uiPriority w:val="1"/>
    <w:semiHidden/>
    <w:unhideWhenUsed/>
  </w:style>
  <w:style w:type="table" w:styleId="69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7" w:default="1">
    <w:name w:val="No List"/>
    <w:uiPriority w:val="99"/>
    <w:semiHidden/>
    <w:unhideWhenUsed/>
  </w:style>
  <w:style w:type="character" w:styleId="698" w:customStyle="1">
    <w:name w:val="Заголовок 1 Знак"/>
    <w:basedOn w:val="695"/>
    <w:link w:val="686"/>
    <w:uiPriority w:val="9"/>
    <w:rPr>
      <w:rFonts w:ascii="Arial" w:hAnsi="Arial" w:eastAsia="Arial" w:cs="Arial"/>
      <w:sz w:val="40"/>
      <w:szCs w:val="40"/>
    </w:rPr>
  </w:style>
  <w:style w:type="character" w:styleId="699" w:customStyle="1">
    <w:name w:val="Заголовок 2 Знак"/>
    <w:basedOn w:val="695"/>
    <w:link w:val="687"/>
    <w:uiPriority w:val="9"/>
    <w:rPr>
      <w:rFonts w:ascii="Arial" w:hAnsi="Arial" w:eastAsia="Arial" w:cs="Arial"/>
      <w:sz w:val="34"/>
    </w:rPr>
  </w:style>
  <w:style w:type="character" w:styleId="700" w:customStyle="1">
    <w:name w:val="Заголовок 3 Знак"/>
    <w:basedOn w:val="695"/>
    <w:link w:val="688"/>
    <w:uiPriority w:val="9"/>
    <w:rPr>
      <w:rFonts w:ascii="Arial" w:hAnsi="Arial" w:eastAsia="Arial" w:cs="Arial"/>
      <w:sz w:val="30"/>
      <w:szCs w:val="30"/>
    </w:rPr>
  </w:style>
  <w:style w:type="character" w:styleId="701" w:customStyle="1">
    <w:name w:val="Заголовок 4 Знак"/>
    <w:basedOn w:val="695"/>
    <w:link w:val="689"/>
    <w:uiPriority w:val="9"/>
    <w:rPr>
      <w:rFonts w:ascii="Arial" w:hAnsi="Arial" w:eastAsia="Arial" w:cs="Arial"/>
      <w:b/>
      <w:bCs/>
      <w:sz w:val="26"/>
      <w:szCs w:val="26"/>
    </w:rPr>
  </w:style>
  <w:style w:type="character" w:styleId="702" w:customStyle="1">
    <w:name w:val="Заголовок 5 Знак"/>
    <w:basedOn w:val="695"/>
    <w:link w:val="690"/>
    <w:uiPriority w:val="9"/>
    <w:rPr>
      <w:rFonts w:ascii="Arial" w:hAnsi="Arial" w:eastAsia="Arial" w:cs="Arial"/>
      <w:b/>
      <w:bCs/>
      <w:sz w:val="24"/>
      <w:szCs w:val="24"/>
    </w:rPr>
  </w:style>
  <w:style w:type="character" w:styleId="703" w:customStyle="1">
    <w:name w:val="Заголовок 6 Знак"/>
    <w:basedOn w:val="695"/>
    <w:link w:val="691"/>
    <w:uiPriority w:val="9"/>
    <w:rPr>
      <w:rFonts w:ascii="Arial" w:hAnsi="Arial" w:eastAsia="Arial" w:cs="Arial"/>
      <w:b/>
      <w:bCs/>
      <w:sz w:val="22"/>
      <w:szCs w:val="22"/>
    </w:rPr>
  </w:style>
  <w:style w:type="character" w:styleId="704" w:customStyle="1">
    <w:name w:val="Заголовок 7 Знак"/>
    <w:basedOn w:val="695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5" w:customStyle="1">
    <w:name w:val="Заголовок 8 Знак"/>
    <w:basedOn w:val="695"/>
    <w:link w:val="693"/>
    <w:uiPriority w:val="9"/>
    <w:rPr>
      <w:rFonts w:ascii="Arial" w:hAnsi="Arial" w:eastAsia="Arial" w:cs="Arial"/>
      <w:i/>
      <w:iCs/>
      <w:sz w:val="22"/>
      <w:szCs w:val="22"/>
    </w:rPr>
  </w:style>
  <w:style w:type="character" w:styleId="706" w:customStyle="1">
    <w:name w:val="Заголовок 9 Знак"/>
    <w:basedOn w:val="695"/>
    <w:link w:val="694"/>
    <w:uiPriority w:val="9"/>
    <w:rPr>
      <w:rFonts w:ascii="Arial" w:hAnsi="Arial" w:eastAsia="Arial" w:cs="Arial"/>
      <w:i/>
      <w:iCs/>
      <w:sz w:val="21"/>
      <w:szCs w:val="21"/>
    </w:rPr>
  </w:style>
  <w:style w:type="paragraph" w:styleId="707">
    <w:name w:val="Title"/>
    <w:basedOn w:val="685"/>
    <w:next w:val="685"/>
    <w:link w:val="70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8" w:customStyle="1">
    <w:name w:val="Заголовок Знак"/>
    <w:basedOn w:val="695"/>
    <w:link w:val="707"/>
    <w:uiPriority w:val="10"/>
    <w:rPr>
      <w:sz w:val="48"/>
      <w:szCs w:val="48"/>
    </w:rPr>
  </w:style>
  <w:style w:type="paragraph" w:styleId="709">
    <w:name w:val="Subtitle"/>
    <w:basedOn w:val="685"/>
    <w:next w:val="685"/>
    <w:link w:val="710"/>
    <w:uiPriority w:val="11"/>
    <w:qFormat/>
    <w:pPr>
      <w:spacing w:before="200" w:after="200"/>
    </w:pPr>
    <w:rPr>
      <w:sz w:val="24"/>
      <w:szCs w:val="24"/>
    </w:rPr>
  </w:style>
  <w:style w:type="character" w:styleId="710" w:customStyle="1">
    <w:name w:val="Подзаголовок Знак"/>
    <w:basedOn w:val="695"/>
    <w:link w:val="709"/>
    <w:uiPriority w:val="11"/>
    <w:rPr>
      <w:sz w:val="24"/>
      <w:szCs w:val="24"/>
    </w:rPr>
  </w:style>
  <w:style w:type="paragraph" w:styleId="711">
    <w:name w:val="Quote"/>
    <w:basedOn w:val="685"/>
    <w:next w:val="685"/>
    <w:link w:val="712"/>
    <w:uiPriority w:val="29"/>
    <w:qFormat/>
    <w:pPr>
      <w:ind w:left="720" w:right="720"/>
    </w:pPr>
    <w:rPr>
      <w:i/>
    </w:rPr>
  </w:style>
  <w:style w:type="character" w:styleId="712" w:customStyle="1">
    <w:name w:val="Цитата 2 Знак"/>
    <w:link w:val="711"/>
    <w:uiPriority w:val="29"/>
    <w:rPr>
      <w:i/>
    </w:rPr>
  </w:style>
  <w:style w:type="paragraph" w:styleId="713">
    <w:name w:val="Intense Quote"/>
    <w:basedOn w:val="685"/>
    <w:next w:val="685"/>
    <w:link w:val="71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4" w:customStyle="1">
    <w:name w:val="Выделенная цитата Знак"/>
    <w:link w:val="713"/>
    <w:uiPriority w:val="30"/>
    <w:rPr>
      <w:i/>
    </w:rPr>
  </w:style>
  <w:style w:type="character" w:styleId="715" w:customStyle="1">
    <w:name w:val="Header Char"/>
    <w:basedOn w:val="695"/>
    <w:uiPriority w:val="99"/>
  </w:style>
  <w:style w:type="character" w:styleId="716" w:customStyle="1">
    <w:name w:val="Footer Char"/>
    <w:basedOn w:val="695"/>
    <w:uiPriority w:val="99"/>
  </w:style>
  <w:style w:type="paragraph" w:styleId="717">
    <w:name w:val="Caption"/>
    <w:basedOn w:val="685"/>
    <w:next w:val="685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18" w:customStyle="1">
    <w:name w:val="Caption Char"/>
    <w:uiPriority w:val="99"/>
  </w:style>
  <w:style w:type="table" w:styleId="719">
    <w:name w:val="Table Grid"/>
    <w:basedOn w:val="69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20" w:customStyle="1">
    <w:name w:val="Table Grid Light"/>
    <w:basedOn w:val="69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1">
    <w:name w:val="Plain Table 1"/>
    <w:basedOn w:val="69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2"/>
    <w:basedOn w:val="69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3"/>
    <w:basedOn w:val="69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4">
    <w:name w:val="Plain Table 4"/>
    <w:basedOn w:val="69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Plain Table 5"/>
    <w:basedOn w:val="69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6">
    <w:name w:val="Grid Table 1 Light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1 Light - Accent 1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1 Light - Accent 2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1 Light - Accent 3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1 Light - Accent 4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1 Light - Accent 5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Grid Table 1 Light - Accent 6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2"/>
    <w:basedOn w:val="69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2 - Accent 1"/>
    <w:basedOn w:val="69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2 - Accent 2"/>
    <w:basedOn w:val="69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2 - Accent 3"/>
    <w:basedOn w:val="69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2 - Accent 4"/>
    <w:basedOn w:val="69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2 - Accent 5"/>
    <w:basedOn w:val="69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2 - Accent 6"/>
    <w:basedOn w:val="69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"/>
    <w:basedOn w:val="69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3 - Accent 1"/>
    <w:basedOn w:val="69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3 - Accent 2"/>
    <w:basedOn w:val="69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3 - Accent 3"/>
    <w:basedOn w:val="69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3 - Accent 4"/>
    <w:basedOn w:val="69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3 - Accent 5"/>
    <w:basedOn w:val="69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3 - Accent 6"/>
    <w:basedOn w:val="69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4"/>
    <w:basedOn w:val="696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8" w:customStyle="1">
    <w:name w:val="Grid Table 4 - Accent 1"/>
    <w:basedOn w:val="69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49" w:customStyle="1">
    <w:name w:val="Grid Table 4 - Accent 2"/>
    <w:basedOn w:val="69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50" w:customStyle="1">
    <w:name w:val="Grid Table 4 - Accent 3"/>
    <w:basedOn w:val="696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51" w:customStyle="1">
    <w:name w:val="Grid Table 4 - Accent 4"/>
    <w:basedOn w:val="69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52" w:customStyle="1">
    <w:name w:val="Grid Table 4 - Accent 5"/>
    <w:basedOn w:val="69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53" w:customStyle="1">
    <w:name w:val="Grid Table 4 - Accent 6"/>
    <w:basedOn w:val="69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54">
    <w:name w:val="Grid Table 5 Dark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5" w:customStyle="1">
    <w:name w:val="Grid Table 5 Dark- Accent 1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56" w:customStyle="1">
    <w:name w:val="Grid Table 5 Dark - Accent 2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57" w:customStyle="1">
    <w:name w:val="Grid Table 5 Dark - Accent 3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58" w:customStyle="1">
    <w:name w:val="Grid Table 5 Dark- Accent 4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59" w:customStyle="1">
    <w:name w:val="Grid Table 5 Dark - Accent 5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60" w:customStyle="1">
    <w:name w:val="Grid Table 5 Dark - Accent 6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61">
    <w:name w:val="Grid Table 6 Colorful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2" w:customStyle="1">
    <w:name w:val="Grid Table 6 Colorful - Accent 1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63" w:customStyle="1">
    <w:name w:val="Grid Table 6 Colorful - Accent 2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64" w:customStyle="1">
    <w:name w:val="Grid Table 6 Colorful - Accent 3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65" w:customStyle="1">
    <w:name w:val="Grid Table 6 Colorful - Accent 4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66" w:customStyle="1">
    <w:name w:val="Grid Table 6 Colorful - Accent 5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7" w:customStyle="1">
    <w:name w:val="Grid Table 6 Colorful - Accent 6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8">
    <w:name w:val="Grid Table 7 Colorful"/>
    <w:basedOn w:val="69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7 Colorful - Accent 1"/>
    <w:basedOn w:val="69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7 Colorful - Accent 2"/>
    <w:basedOn w:val="69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7 Colorful - Accent 3"/>
    <w:basedOn w:val="69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7 Colorful - Accent 4"/>
    <w:basedOn w:val="69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7 Colorful - Accent 5"/>
    <w:basedOn w:val="69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7 Colorful - Accent 6"/>
    <w:basedOn w:val="69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"/>
    <w:basedOn w:val="69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1 Light - Accent 1"/>
    <w:basedOn w:val="69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1 Light - Accent 2"/>
    <w:basedOn w:val="69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1 Light - Accent 3"/>
    <w:basedOn w:val="69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1 Light - Accent 4"/>
    <w:basedOn w:val="69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1 Light - Accent 5"/>
    <w:basedOn w:val="69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1 Light - Accent 6"/>
    <w:basedOn w:val="69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2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3" w:customStyle="1">
    <w:name w:val="List Table 2 - Accent 1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84" w:customStyle="1">
    <w:name w:val="List Table 2 - Accent 2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85" w:customStyle="1">
    <w:name w:val="List Table 2 - Accent 3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86" w:customStyle="1">
    <w:name w:val="List Table 2 - Accent 4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87" w:customStyle="1">
    <w:name w:val="List Table 2 - Accent 5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88" w:customStyle="1">
    <w:name w:val="List Table 2 - Accent 6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89">
    <w:name w:val="List Table 3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3 - Accent 1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3 - Accent 2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3 - Accent 3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3 - Accent 4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3 - Accent 5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3 - Accent 6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 - Accent 1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 - Accent 2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 - Accent 3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4 - Accent 4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 - Accent 5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4 - Accent 6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5 Dark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 w:customStyle="1">
    <w:name w:val="List Table 5 Dark - Accent 1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 w:customStyle="1">
    <w:name w:val="List Table 5 Dark - Accent 2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 w:customStyle="1">
    <w:name w:val="List Table 5 Dark - Accent 3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List Table 5 Dark - Accent 4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 w:customStyle="1">
    <w:name w:val="List Table 5 Dark - Accent 5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 w:customStyle="1">
    <w:name w:val="List Table 5 Dark - Accent 6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>
    <w:name w:val="List Table 6 Colorful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1" w:customStyle="1">
    <w:name w:val="List Table 6 Colorful - Accent 1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12" w:customStyle="1">
    <w:name w:val="List Table 6 Colorful - Accent 2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13" w:customStyle="1">
    <w:name w:val="List Table 6 Colorful - Accent 3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14" w:customStyle="1">
    <w:name w:val="List Table 6 Colorful - Accent 4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15" w:customStyle="1">
    <w:name w:val="List Table 6 Colorful - Accent 5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16" w:customStyle="1">
    <w:name w:val="List Table 6 Colorful - Accent 6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17">
    <w:name w:val="List Table 7 Colorful"/>
    <w:basedOn w:val="69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7 Colorful - Accent 1"/>
    <w:basedOn w:val="69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7 Colorful - Accent 2"/>
    <w:basedOn w:val="69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7 Colorful - Accent 3"/>
    <w:basedOn w:val="69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7 Colorful - Accent 4"/>
    <w:basedOn w:val="69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7 Colorful - Accent 5"/>
    <w:basedOn w:val="69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7 Colorful - Accent 6"/>
    <w:basedOn w:val="69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ned - Accent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5" w:customStyle="1">
    <w:name w:val="Lined - Accent 1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6" w:customStyle="1">
    <w:name w:val="Lined - Accent 2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7" w:customStyle="1">
    <w:name w:val="Lined - Accent 3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8" w:customStyle="1">
    <w:name w:val="Lined - Accent 4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9" w:customStyle="1">
    <w:name w:val="Lined - Accent 5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0" w:customStyle="1">
    <w:name w:val="Lined - Accent 6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1" w:customStyle="1">
    <w:name w:val="Bordered &amp; Lined - Accent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2" w:customStyle="1">
    <w:name w:val="Bordered &amp; Lined - Accent 1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3" w:customStyle="1">
    <w:name w:val="Bordered &amp; Lined - Accent 2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4" w:customStyle="1">
    <w:name w:val="Bordered &amp; Lined - Accent 3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5" w:customStyle="1">
    <w:name w:val="Bordered &amp; Lined - Accent 4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6" w:customStyle="1">
    <w:name w:val="Bordered &amp; Lined - Accent 5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7" w:customStyle="1">
    <w:name w:val="Bordered &amp; Lined - Accent 6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8" w:customStyle="1">
    <w:name w:val="Bordered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9" w:customStyle="1">
    <w:name w:val="Bordered - Accent 1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40" w:customStyle="1">
    <w:name w:val="Bordered - Accent 2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41" w:customStyle="1">
    <w:name w:val="Bordered - Accent 3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42" w:customStyle="1">
    <w:name w:val="Bordered - Accent 4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43" w:customStyle="1">
    <w:name w:val="Bordered - Accent 5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44" w:customStyle="1">
    <w:name w:val="Bordered - Accent 6"/>
    <w:basedOn w:val="6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45">
    <w:name w:val="Hyperlink"/>
    <w:uiPriority w:val="99"/>
    <w:unhideWhenUsed/>
    <w:rPr>
      <w:color w:val="0563c1" w:themeColor="hyperlink"/>
      <w:u w:val="single"/>
    </w:rPr>
  </w:style>
  <w:style w:type="paragraph" w:styleId="846">
    <w:name w:val="footnote text"/>
    <w:basedOn w:val="685"/>
    <w:link w:val="847"/>
    <w:uiPriority w:val="99"/>
    <w:semiHidden/>
    <w:unhideWhenUsed/>
    <w:pPr>
      <w:spacing w:after="40" w:line="240" w:lineRule="auto"/>
    </w:pPr>
    <w:rPr>
      <w:sz w:val="18"/>
    </w:rPr>
  </w:style>
  <w:style w:type="character" w:styleId="847" w:customStyle="1">
    <w:name w:val="Текст сноски Знак"/>
    <w:link w:val="846"/>
    <w:uiPriority w:val="99"/>
    <w:rPr>
      <w:sz w:val="18"/>
    </w:rPr>
  </w:style>
  <w:style w:type="character" w:styleId="848">
    <w:name w:val="footnote reference"/>
    <w:basedOn w:val="695"/>
    <w:uiPriority w:val="99"/>
    <w:unhideWhenUsed/>
    <w:rPr>
      <w:vertAlign w:val="superscript"/>
    </w:rPr>
  </w:style>
  <w:style w:type="paragraph" w:styleId="849">
    <w:name w:val="endnote text"/>
    <w:basedOn w:val="685"/>
    <w:link w:val="850"/>
    <w:uiPriority w:val="99"/>
    <w:semiHidden/>
    <w:unhideWhenUsed/>
    <w:pPr>
      <w:spacing w:after="0" w:line="240" w:lineRule="auto"/>
    </w:pPr>
    <w:rPr>
      <w:sz w:val="20"/>
    </w:rPr>
  </w:style>
  <w:style w:type="character" w:styleId="850" w:customStyle="1">
    <w:name w:val="Текст концевой сноски Знак"/>
    <w:link w:val="849"/>
    <w:uiPriority w:val="99"/>
    <w:rPr>
      <w:sz w:val="20"/>
    </w:rPr>
  </w:style>
  <w:style w:type="character" w:styleId="851">
    <w:name w:val="endnote reference"/>
    <w:basedOn w:val="695"/>
    <w:uiPriority w:val="99"/>
    <w:semiHidden/>
    <w:unhideWhenUsed/>
    <w:rPr>
      <w:vertAlign w:val="superscript"/>
    </w:rPr>
  </w:style>
  <w:style w:type="paragraph" w:styleId="852">
    <w:name w:val="toc 1"/>
    <w:basedOn w:val="685"/>
    <w:next w:val="685"/>
    <w:uiPriority w:val="39"/>
    <w:unhideWhenUsed/>
    <w:pPr>
      <w:spacing w:after="57"/>
    </w:pPr>
  </w:style>
  <w:style w:type="paragraph" w:styleId="853">
    <w:name w:val="toc 2"/>
    <w:basedOn w:val="685"/>
    <w:next w:val="685"/>
    <w:uiPriority w:val="39"/>
    <w:unhideWhenUsed/>
    <w:pPr>
      <w:ind w:left="283"/>
      <w:spacing w:after="57"/>
    </w:pPr>
  </w:style>
  <w:style w:type="paragraph" w:styleId="854">
    <w:name w:val="toc 3"/>
    <w:basedOn w:val="685"/>
    <w:next w:val="685"/>
    <w:uiPriority w:val="39"/>
    <w:unhideWhenUsed/>
    <w:pPr>
      <w:ind w:left="567"/>
      <w:spacing w:after="57"/>
    </w:pPr>
  </w:style>
  <w:style w:type="paragraph" w:styleId="855">
    <w:name w:val="toc 4"/>
    <w:basedOn w:val="685"/>
    <w:next w:val="685"/>
    <w:uiPriority w:val="39"/>
    <w:unhideWhenUsed/>
    <w:pPr>
      <w:ind w:left="850"/>
      <w:spacing w:after="57"/>
    </w:pPr>
  </w:style>
  <w:style w:type="paragraph" w:styleId="856">
    <w:name w:val="toc 5"/>
    <w:basedOn w:val="685"/>
    <w:next w:val="685"/>
    <w:uiPriority w:val="39"/>
    <w:unhideWhenUsed/>
    <w:pPr>
      <w:ind w:left="1134"/>
      <w:spacing w:after="57"/>
    </w:pPr>
  </w:style>
  <w:style w:type="paragraph" w:styleId="857">
    <w:name w:val="toc 6"/>
    <w:basedOn w:val="685"/>
    <w:next w:val="685"/>
    <w:uiPriority w:val="39"/>
    <w:unhideWhenUsed/>
    <w:pPr>
      <w:ind w:left="1417"/>
      <w:spacing w:after="57"/>
    </w:pPr>
  </w:style>
  <w:style w:type="paragraph" w:styleId="858">
    <w:name w:val="toc 7"/>
    <w:basedOn w:val="685"/>
    <w:next w:val="685"/>
    <w:uiPriority w:val="39"/>
    <w:unhideWhenUsed/>
    <w:pPr>
      <w:ind w:left="1701"/>
      <w:spacing w:after="57"/>
    </w:pPr>
  </w:style>
  <w:style w:type="paragraph" w:styleId="859">
    <w:name w:val="toc 8"/>
    <w:basedOn w:val="685"/>
    <w:next w:val="685"/>
    <w:uiPriority w:val="39"/>
    <w:unhideWhenUsed/>
    <w:pPr>
      <w:ind w:left="1984"/>
      <w:spacing w:after="57"/>
    </w:pPr>
  </w:style>
  <w:style w:type="paragraph" w:styleId="860">
    <w:name w:val="toc 9"/>
    <w:basedOn w:val="685"/>
    <w:next w:val="685"/>
    <w:uiPriority w:val="39"/>
    <w:unhideWhenUsed/>
    <w:pPr>
      <w:ind w:left="2268"/>
      <w:spacing w:after="57"/>
    </w:pPr>
  </w:style>
  <w:style w:type="paragraph" w:styleId="861">
    <w:name w:val="TOC Heading"/>
    <w:uiPriority w:val="39"/>
    <w:unhideWhenUsed/>
  </w:style>
  <w:style w:type="paragraph" w:styleId="862">
    <w:name w:val="table of figures"/>
    <w:basedOn w:val="685"/>
    <w:next w:val="685"/>
    <w:uiPriority w:val="99"/>
    <w:unhideWhenUsed/>
    <w:pPr>
      <w:spacing w:after="0"/>
    </w:pPr>
  </w:style>
  <w:style w:type="paragraph" w:styleId="863">
    <w:name w:val="No Spacing"/>
    <w:uiPriority w:val="1"/>
    <w:qFormat/>
    <w:pPr>
      <w:ind w:left="-567" w:right="-284"/>
      <w:spacing w:after="0" w:line="240" w:lineRule="auto"/>
    </w:pPr>
  </w:style>
  <w:style w:type="paragraph" w:styleId="864">
    <w:name w:val="Header"/>
    <w:basedOn w:val="685"/>
    <w:link w:val="86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5" w:customStyle="1">
    <w:name w:val="Верхний колонтитул Знак"/>
    <w:basedOn w:val="695"/>
    <w:link w:val="864"/>
    <w:uiPriority w:val="99"/>
  </w:style>
  <w:style w:type="paragraph" w:styleId="866">
    <w:name w:val="Footer"/>
    <w:basedOn w:val="685"/>
    <w:link w:val="86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7" w:customStyle="1">
    <w:name w:val="Нижний колонтитул Знак"/>
    <w:basedOn w:val="695"/>
    <w:link w:val="866"/>
    <w:uiPriority w:val="99"/>
  </w:style>
  <w:style w:type="paragraph" w:styleId="868">
    <w:name w:val="List Paragraph"/>
    <w:basedOn w:val="685"/>
    <w:uiPriority w:val="34"/>
    <w:qFormat/>
    <w:pPr>
      <w:contextualSpacing/>
      <w:ind w:left="720"/>
    </w:pPr>
  </w:style>
  <w:style w:type="paragraph" w:styleId="869">
    <w:name w:val="Balloon Text"/>
    <w:basedOn w:val="685"/>
    <w:link w:val="87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70" w:customStyle="1">
    <w:name w:val="Текст выноски Знак"/>
    <w:basedOn w:val="695"/>
    <w:link w:val="869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ВЭБ.РФ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Берман Алиса Михайловна</dc:creator>
  <cp:keywords/>
  <dc:description/>
  <cp:lastModifiedBy>batyrbek.asadov</cp:lastModifiedBy>
  <cp:revision>7</cp:revision>
  <dcterms:created xsi:type="dcterms:W3CDTF">2025-10-08T15:12:00Z</dcterms:created>
  <dcterms:modified xsi:type="dcterms:W3CDTF">2026-03-02T10:39:47Z</dcterms:modified>
</cp:coreProperties>
</file>