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36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Пояснительная записка</w:t>
      </w:r>
    </w:p>
    <w:p w14:paraId="06000000">
      <w:pPr>
        <w:widowControl w:val="1"/>
        <w:spacing w:line="36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к</w:t>
      </w:r>
      <w:r>
        <w:rPr>
          <w:rFonts w:ascii="PT Astra Serif" w:hAnsi="PT Astra Serif"/>
          <w:b w:val="1"/>
          <w:sz w:val="28"/>
        </w:rPr>
        <w:t xml:space="preserve"> проект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 xml:space="preserve"> приказа</w:t>
      </w:r>
      <w:r>
        <w:rPr>
          <w:rFonts w:ascii="PT Astra Serif" w:hAnsi="PT Astra Serif"/>
          <w:b w:val="1"/>
          <w:sz w:val="28"/>
        </w:rPr>
        <w:t xml:space="preserve"> Министерства юстиции Российской Федерации </w:t>
      </w:r>
    </w:p>
    <w:p w14:paraId="07000000">
      <w:pPr>
        <w:widowControl w:val="1"/>
        <w:spacing w:line="360" w:lineRule="exact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«Об утверждении </w:t>
      </w:r>
      <w:r>
        <w:rPr>
          <w:rFonts w:ascii="PT Astra Serif" w:hAnsi="PT Astra Serif"/>
          <w:b w:val="1"/>
          <w:sz w:val="28"/>
        </w:rPr>
        <w:t xml:space="preserve">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</w:t>
      </w:r>
    </w:p>
    <w:p w14:paraId="08000000">
      <w:pPr>
        <w:widowControl w:val="1"/>
        <w:spacing w:line="360" w:lineRule="exact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 проектов нормативных правовых актов в случаях, предусмотренных законод</w:t>
      </w:r>
      <w:r>
        <w:rPr>
          <w:rFonts w:ascii="PT Astra Serif" w:hAnsi="PT Astra Serif"/>
          <w:b w:val="1"/>
          <w:sz w:val="28"/>
        </w:rPr>
        <w:t>ательством Российской Федерации»</w:t>
      </w:r>
    </w:p>
    <w:p w14:paraId="09000000">
      <w:pPr>
        <w:widowControl w:val="1"/>
        <w:spacing w:line="240" w:lineRule="auto"/>
        <w:ind/>
        <w:jc w:val="center"/>
        <w:outlineLvl w:val="0"/>
        <w:rPr>
          <w:rFonts w:ascii="PT Astra Serif" w:hAnsi="PT Astra Serif"/>
          <w:b w:val="1"/>
          <w:sz w:val="28"/>
        </w:rPr>
      </w:pPr>
    </w:p>
    <w:p w14:paraId="0A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роект приказа </w:t>
      </w:r>
      <w:r>
        <w:rPr>
          <w:rFonts w:ascii="PT Astra Serif" w:hAnsi="PT Astra Serif"/>
          <w:sz w:val="28"/>
        </w:rPr>
        <w:t xml:space="preserve">Министерства юстиции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(далее – проект приказ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, Порядок, Реестр, независимый эксперт соответственно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 xml:space="preserve">подготовлен </w:t>
      </w:r>
      <w:r>
        <w:rPr>
          <w:rFonts w:ascii="PT Astra Serif" w:hAnsi="PT Astra Serif"/>
          <w:sz w:val="28"/>
        </w:rPr>
        <w:t xml:space="preserve">в целях </w:t>
      </w:r>
      <w:r>
        <w:rPr>
          <w:rFonts w:ascii="PT Astra Serif" w:hAnsi="PT Astra Serif"/>
          <w:sz w:val="28"/>
        </w:rPr>
        <w:t xml:space="preserve">приведения нормативных правовых актов </w:t>
      </w:r>
      <w:r>
        <w:rPr>
          <w:rFonts w:ascii="PT Astra Serif" w:hAnsi="PT Astra Serif"/>
          <w:sz w:val="28"/>
        </w:rPr>
        <w:t xml:space="preserve">Минюста России в соответствие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законодательством Российской Федерации.</w:t>
      </w:r>
    </w:p>
    <w:p w14:paraId="0B000000">
      <w:pPr>
        <w:pStyle w:val="Style_3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Проектом приказа предлагается утвердить новый П</w:t>
      </w:r>
      <w:r>
        <w:rPr>
          <w:rFonts w:ascii="PT Astra Serif" w:hAnsi="PT Astra Serif"/>
          <w:sz w:val="28"/>
        </w:rPr>
        <w:t xml:space="preserve">орядок, регламентирующий </w:t>
      </w:r>
      <w:r>
        <w:rPr>
          <w:rFonts w:ascii="PT Astra Serif" w:hAnsi="PT Astra Serif"/>
          <w:sz w:val="28"/>
        </w:rPr>
        <w:t xml:space="preserve">правила и </w:t>
      </w:r>
      <w:r>
        <w:rPr>
          <w:rFonts w:ascii="PT Astra Serif" w:hAnsi="PT Astra Serif"/>
          <w:sz w:val="28"/>
        </w:rPr>
        <w:t xml:space="preserve">организацию работы Минюста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ведению Реестра.</w:t>
      </w:r>
    </w:p>
    <w:p w14:paraId="0C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проекте приказа указаны основания для внесения в Реестр сведений о независимом эксперте, основания для внесения изменений в запись, содержащуюся </w:t>
      </w:r>
      <w:r>
        <w:rPr>
          <w:rFonts w:ascii="PT Astra Serif" w:hAnsi="PT Astra Serif"/>
          <w:sz w:val="28"/>
        </w:rPr>
        <w:t xml:space="preserve">в Реестре, </w:t>
      </w:r>
      <w:r>
        <w:rPr>
          <w:rFonts w:ascii="PT Astra Serif" w:hAnsi="PT Astra Serif"/>
          <w:sz w:val="28"/>
        </w:rPr>
        <w:t xml:space="preserve">а также </w:t>
      </w:r>
      <w:r>
        <w:rPr>
          <w:rFonts w:ascii="PT Astra Serif" w:hAnsi="PT Astra Serif"/>
          <w:sz w:val="28"/>
        </w:rPr>
        <w:t>срок размещения записи</w:t>
      </w:r>
      <w:r>
        <w:rPr>
          <w:rFonts w:ascii="PT Astra Serif" w:hAnsi="PT Astra Serif"/>
          <w:sz w:val="28"/>
        </w:rPr>
        <w:t xml:space="preserve"> о независимом эксперте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Реестре.</w:t>
      </w:r>
    </w:p>
    <w:p w14:paraId="0D000000">
      <w:pPr>
        <w:pStyle w:val="Style_3"/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Кроме того, в Порядке предусмотрено </w:t>
      </w:r>
      <w:r>
        <w:rPr>
          <w:rFonts w:ascii="PT Astra Serif" w:hAnsi="PT Astra Serif"/>
          <w:sz w:val="28"/>
        </w:rPr>
        <w:t xml:space="preserve">исключение из Реестра </w:t>
      </w:r>
      <w:r>
        <w:rPr>
          <w:rFonts w:ascii="PT Astra Serif" w:hAnsi="PT Astra Serif"/>
          <w:sz w:val="28"/>
        </w:rPr>
        <w:t xml:space="preserve">сведений </w:t>
      </w:r>
      <w:r>
        <w:rPr>
          <w:rFonts w:ascii="PT Astra Serif" w:hAnsi="PT Astra Serif"/>
          <w:sz w:val="28"/>
        </w:rPr>
        <w:t xml:space="preserve">о независимом эксперте </w:t>
      </w:r>
      <w:r>
        <w:rPr>
          <w:rFonts w:ascii="PT Astra Serif" w:hAnsi="PT Astra Serif"/>
          <w:sz w:val="28"/>
        </w:rPr>
        <w:t>по следующим основаниям:</w:t>
      </w:r>
    </w:p>
    <w:p w14:paraId="0E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кончание срока размещения записи о независимом эксперте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Реестре;</w:t>
      </w:r>
    </w:p>
    <w:p w14:paraId="0F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издание распоряжения Минюста России об исключении из Реестра сведений о </w:t>
      </w:r>
      <w:r>
        <w:rPr>
          <w:rFonts w:ascii="PT Astra Serif" w:hAnsi="PT Astra Serif"/>
          <w:sz w:val="28"/>
        </w:rPr>
        <w:t xml:space="preserve">независимом эксперте </w:t>
      </w:r>
      <w:r>
        <w:rPr>
          <w:rFonts w:ascii="PT Astra Serif" w:hAnsi="PT Astra Serif"/>
          <w:sz w:val="28"/>
        </w:rPr>
        <w:t>по заявлению независимого эксперта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об исключении </w:t>
      </w:r>
      <w:r>
        <w:rPr>
          <w:rFonts w:ascii="PT Astra Serif" w:hAnsi="PT Astra Serif"/>
          <w:sz w:val="28"/>
        </w:rPr>
        <w:t xml:space="preserve">его из Реестра или </w:t>
      </w:r>
      <w:r>
        <w:rPr>
          <w:rFonts w:ascii="PT Astra Serif" w:hAnsi="PT Astra Serif"/>
          <w:sz w:val="28"/>
        </w:rPr>
        <w:t xml:space="preserve">в случае несоответствия независимого эксперта требованиям, установленным </w:t>
      </w:r>
      <w:r>
        <w:rPr>
          <w:rFonts w:ascii="PT Astra Serif" w:hAnsi="PT Astra Serif"/>
          <w:sz w:val="28"/>
        </w:rPr>
        <w:t xml:space="preserve">в части 1.1 статьи 5 Федерального закона </w:t>
      </w:r>
      <w:r>
        <w:rPr>
          <w:rFonts w:ascii="PT Astra Serif" w:hAnsi="PT Astra Serif"/>
          <w:sz w:val="28"/>
        </w:rPr>
        <w:t xml:space="preserve">от 17 июля 2009 г. № 172-ФЗ </w:t>
      </w:r>
      <w:r>
        <w:rPr>
          <w:rFonts w:ascii="PT Astra Serif" w:hAnsi="PT Astra Serif"/>
          <w:sz w:val="28"/>
        </w:rPr>
        <w:t xml:space="preserve">«Об антикоррупционной экспертизе нормативных правовых актов </w:t>
      </w:r>
      <w:r>
        <w:rPr>
          <w:rFonts w:ascii="PT Astra Serif" w:hAnsi="PT Astra Serif"/>
          <w:sz w:val="28"/>
        </w:rPr>
        <w:t xml:space="preserve">и проектов нормативных правовых актов». </w:t>
      </w:r>
    </w:p>
    <w:p w14:paraId="10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Также проектом приказа</w:t>
      </w:r>
      <w:r>
        <w:rPr>
          <w:rFonts w:ascii="PT Astra Serif" w:hAnsi="PT Astra Serif"/>
          <w:sz w:val="28"/>
        </w:rPr>
        <w:t xml:space="preserve"> п</w:t>
      </w:r>
      <w:r>
        <w:rPr>
          <w:rFonts w:ascii="PT Astra Serif" w:hAnsi="PT Astra Serif"/>
          <w:sz w:val="28"/>
        </w:rPr>
        <w:t xml:space="preserve">редлагается признать утратившими силу </w:t>
      </w:r>
      <w:r>
        <w:rPr>
          <w:rFonts w:ascii="PT Astra Serif" w:hAnsi="PT Astra Serif"/>
          <w:sz w:val="28"/>
        </w:rPr>
        <w:t xml:space="preserve">приказ Минюста России </w:t>
      </w:r>
      <w:r>
        <w:rPr>
          <w:rFonts w:ascii="PT Astra Serif" w:hAnsi="PT Astra Serif"/>
          <w:sz w:val="28"/>
        </w:rPr>
        <w:t>от 26</w:t>
      </w:r>
      <w:r>
        <w:rPr>
          <w:rFonts w:ascii="PT Astra Serif" w:hAnsi="PT Astra Serif"/>
          <w:sz w:val="28"/>
        </w:rPr>
        <w:t>.04.</w:t>
      </w:r>
      <w:r>
        <w:rPr>
          <w:rFonts w:ascii="PT Astra Serif" w:hAnsi="PT Astra Serif"/>
          <w:sz w:val="28"/>
        </w:rPr>
        <w:t>2012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№ 66 </w:t>
      </w:r>
      <w:r>
        <w:rPr>
          <w:rFonts w:ascii="PT Astra Serif" w:hAnsi="PT Astra Serif"/>
          <w:sz w:val="28"/>
        </w:rPr>
        <w:t xml:space="preserve">«Об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случаях, предусмотренных законодательством Российской Федерации»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приказы Минюста России, которыми были внесены </w:t>
      </w:r>
      <w:r>
        <w:rPr>
          <w:rFonts w:ascii="PT Astra Serif" w:hAnsi="PT Astra Serif"/>
          <w:sz w:val="28"/>
        </w:rPr>
        <w:t xml:space="preserve">в него </w:t>
      </w:r>
      <w:r>
        <w:rPr>
          <w:rFonts w:ascii="PT Astra Serif" w:hAnsi="PT Astra Serif"/>
          <w:sz w:val="28"/>
        </w:rPr>
        <w:t>изменения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1530" w:footer="708" w:gutter="0" w:header="708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sz w:val="28"/>
      </w:rPr>
    </w:pPr>
    <w:r>
      <w:rPr>
        <w:rStyle w:val="Style_2_ch"/>
        <w:sz w:val="28"/>
      </w:rPr>
      <w:fldChar w:fldCharType="begin"/>
    </w:r>
    <w:r>
      <w:rPr>
        <w:rStyle w:val="Style_2_ch"/>
        <w:sz w:val="28"/>
      </w:rPr>
      <w:instrText xml:space="preserve">PAGE </w:instrText>
    </w:r>
    <w:r>
      <w:rPr>
        <w:rStyle w:val="Style_2_ch"/>
        <w:sz w:val="28"/>
      </w:rPr>
      <w:fldChar w:fldCharType="separate"/>
    </w:r>
    <w:r>
      <w:rPr>
        <w:rStyle w:val="Style_2_ch"/>
        <w:sz w:val="28"/>
      </w:rPr>
      <w:t xml:space="preserve"> </w:t>
    </w:r>
    <w:r>
      <w:rPr>
        <w:rStyle w:val="Style_2_ch"/>
        <w:sz w:val="28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 Indent"/>
    <w:basedOn w:val="Style_4"/>
    <w:link w:val="Style_12_ch"/>
    <w:pPr>
      <w:widowControl w:val="1"/>
      <w:ind w:firstLine="709"/>
      <w:jc w:val="both"/>
    </w:pPr>
    <w:rPr>
      <w:sz w:val="28"/>
    </w:rPr>
  </w:style>
  <w:style w:styleId="Style_12_ch" w:type="character">
    <w:name w:val="Body Text Indent"/>
    <w:basedOn w:val="Style_4_ch"/>
    <w:link w:val="Style_12"/>
    <w:rPr>
      <w:sz w:val="28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No Spacing"/>
    <w:link w:val="Style_14_ch"/>
    <w:rPr>
      <w:rFonts w:ascii="Calibri" w:hAnsi="Calibri"/>
      <w:sz w:val="22"/>
    </w:rPr>
  </w:style>
  <w:style w:styleId="Style_14_ch" w:type="character">
    <w:name w:val="No Spacing"/>
    <w:link w:val="Style_14"/>
    <w:rPr>
      <w:rFonts w:ascii="Calibri" w:hAnsi="Calibri"/>
      <w:sz w:val="22"/>
    </w:rPr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toc 9"/>
    <w:next w:val="Style_4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toc 8"/>
    <w:next w:val="Style_4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4" w:type="paragraph">
    <w:name w:val="toc 5"/>
    <w:next w:val="Style_4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сновной текст1"/>
    <w:basedOn w:val="Style_4"/>
    <w:link w:val="Style_25_ch"/>
    <w:pPr>
      <w:widowControl w:val="1"/>
      <w:spacing w:after="360" w:line="0" w:lineRule="atLeast"/>
      <w:ind w:firstLine="658" w:left="40" w:right="23"/>
      <w:jc w:val="right"/>
    </w:pPr>
    <w:rPr>
      <w:rFonts w:ascii="Sylfaen" w:hAnsi="Sylfaen"/>
      <w:sz w:val="25"/>
    </w:rPr>
  </w:style>
  <w:style w:styleId="Style_25_ch" w:type="character">
    <w:name w:val="Основной текст1"/>
    <w:basedOn w:val="Style_4_ch"/>
    <w:link w:val="Style_25"/>
    <w:rPr>
      <w:rFonts w:ascii="Sylfaen" w:hAnsi="Sylfaen"/>
      <w:sz w:val="25"/>
    </w:rPr>
  </w:style>
  <w:style w:styleId="Style_26" w:type="paragraph">
    <w:name w:val="Subtitle"/>
    <w:next w:val="Style_4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footer"/>
    <w:basedOn w:val="Style_4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2026-01-30T14:27:30Z</dcterms:created>
  <dcterms:modified xsi:type="dcterms:W3CDTF">2026-03-31T08:57:32Z</dcterms:modified>
</cp:coreProperties>
</file>