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b/>
          <w:sz w:val="28"/>
          <w:szCs w:val="28"/>
        </w:rPr>
        <w:t>к проекту постановления Правительства Российской Федерации</w:t>
        <w:br/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88" w:before="0" w:after="0"/>
        <w:ind w:firstLine="709"/>
        <w:jc w:val="both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>Проект постановления Правительства Российской Федерации</w:t>
        <w:br/>
        <w:t xml:space="preserve">«О внесении изменений в </w:t>
      </w:r>
      <w:r>
        <w:rPr>
          <w:rFonts w:eastAsia="Liberation Serif" w:cs="Liberation Serif" w:ascii="Liberation Serif" w:hAnsi="Liberation Serif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eastAsia="Liberation Serif" w:cs="Liberation Serif" w:ascii="Liberation Serif" w:hAnsi="Liberation Serif"/>
          <w:sz w:val="28"/>
          <w:szCs w:val="28"/>
        </w:rPr>
        <w:t>от 16 августа 2012 г. № 837» (утверждены Правила реализации (продажи) материальных ценностей, выпускаемых из государственного материального резерва (далее – проект постановления) подготовлен</w:t>
        <w:br/>
      </w:r>
      <w:bookmarkStart w:id="0" w:name="_GoBack"/>
      <w:bookmarkEnd w:id="0"/>
      <w:r>
        <w:rPr>
          <w:rFonts w:eastAsia="Liberation Serif" w:cs="Liberation Serif" w:ascii="Liberation Serif" w:hAnsi="Liberation Serif"/>
          <w:sz w:val="28"/>
          <w:szCs w:val="28"/>
        </w:rPr>
        <w:t>в инициативном порядке в целях повышения качества отбора более надежных потенциальных претендентов при реализации (продаже) на торгах материальных ценностей, выпускаемых из государственного резерва.</w:t>
      </w:r>
    </w:p>
    <w:p>
      <w:pPr>
        <w:pStyle w:val="Normal"/>
        <w:spacing w:lineRule="auto" w:line="288" w:before="0" w:after="0"/>
        <w:jc w:val="both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color w:val="000000"/>
          <w:sz w:val="28"/>
          <w:szCs w:val="28"/>
        </w:rPr>
        <w:tab/>
        <w:t>Проектом постановления предлагается привести обязательные требования к участникам торгов по аналогии к единым требованиям участника закупки, установленным  пунктом 1 части 1 статьи 31 Федерального закона от 05.04.2013 № 44-ФЗ «О контрактной системе в сфере закупок товаров, работ, услуг для обеспечения государственных</w:t>
        <w:br/>
        <w:t xml:space="preserve">и муниципальных нужд», </w:t>
      </w:r>
      <w:r>
        <w:rPr>
          <w:rFonts w:eastAsia="Liberation Serif" w:cs="Liberation Serif" w:ascii="Liberation Serif" w:hAnsi="Liberation Serif"/>
          <w:sz w:val="28"/>
          <w:szCs w:val="28"/>
        </w:rPr>
        <w:t>в целях соответствия потенциальных претендентов при реализации материальных ценностей, выпускаемых из государственного резерва, являющихся объектом торгов в форме аукциона, требованиям, установленным в законодательством Российской Федерации, а также</w:t>
        <w:br/>
        <w:t>с учетом опыта проведения торгов и правоприменительной практики.</w:t>
      </w:r>
    </w:p>
    <w:p>
      <w:pPr>
        <w:pStyle w:val="Normal"/>
        <w:spacing w:lineRule="auto" w:line="288" w:before="0" w:after="0"/>
        <w:jc w:val="both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sz w:val="28"/>
          <w:szCs w:val="28"/>
        </w:rPr>
        <w:tab/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  <w:br/>
        <w:t>от 25 августа 2012 г. № 851, принято решение об отказе от проведения общественного обсуждения уведомления о подготовке проекта постановления.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erif" w:hAnsi="Liberation Serif"/>
        </w:rPr>
      </w:pPr>
      <w:r>
        <w:rPr/>
      </w:r>
    </w:p>
    <w:p>
      <w:pPr>
        <w:pStyle w:val="Normal"/>
        <w:spacing w:lineRule="exact" w:line="360" w:before="0" w:after="0"/>
        <w:jc w:val="center"/>
        <w:rPr/>
      </w:pPr>
      <w:bookmarkStart w:id="1" w:name="_GoBack1"/>
      <w:bookmarkEnd w:id="1"/>
      <w:r>
        <w:rPr>
          <w:rFonts w:cs="Times New Roman" w:ascii="Times New Roman" w:hAnsi="Times New Roman"/>
          <w:sz w:val="28"/>
          <w:szCs w:val="28"/>
        </w:rPr>
        <w:t>Решение об отказе от  размещения уведомления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Проект 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  <w:szCs w:val="28"/>
        </w:rPr>
        <w:t>постановления Правительства Российской Федерации</w:t>
        <w:br/>
        <w:t xml:space="preserve">«О внесении изменений в 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  <w:szCs w:val="28"/>
          <w:lang w:eastAsia="ru-RU"/>
        </w:rPr>
        <w:t xml:space="preserve">постановление Правительства Российской Федерации </w:t>
      </w:r>
      <w:r>
        <w:rPr>
          <w:rFonts w:eastAsia="Liberation Serif" w:cs="Liberation Serif" w:ascii="Liberation Serif" w:hAnsi="Liberation Serif"/>
          <w:b w:val="false"/>
          <w:color w:val="000000"/>
          <w:sz w:val="28"/>
          <w:szCs w:val="28"/>
        </w:rPr>
        <w:t>от 16 августа 2012 г. № 837» (утверждены Правила реализации (продажи) материальных ценностей, выпускаемых из государственного материального резерва (далее – проект постановления)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8"/>
          <w:szCs w:val="28"/>
        </w:rPr>
        <w:t>подготовлен</w:t>
        <w:br/>
      </w:r>
      <w:bookmarkStart w:id="2" w:name="_GoBack2"/>
      <w:bookmarkEnd w:id="2"/>
      <w:r>
        <w:rPr>
          <w:rFonts w:eastAsia="Liberation Serif" w:cs="Liberation Serif" w:ascii="Liberation Serif" w:hAnsi="Liberation Serif"/>
          <w:b w:val="false"/>
          <w:bCs w:val="false"/>
          <w:color w:val="000000"/>
          <w:sz w:val="28"/>
          <w:szCs w:val="28"/>
        </w:rPr>
        <w:t>в инициативном порядке в целях повышения качества отбора более надежных потенциальных претендентов при реализации (продаже) на торгах материальных ценностей, выпускаемых из государственного резерва.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Необходимость проведения общественного обсуждения уведомления</w:t>
        <w:br/>
        <w:t>о подготовке проекта п</w:t>
      </w:r>
      <w:r>
        <w:rPr>
          <w:rFonts w:cs="Times New Roman" w:ascii="Times New Roman" w:hAnsi="Times New Roman"/>
          <w:sz w:val="28"/>
          <w:szCs w:val="28"/>
        </w:rPr>
        <w:t>остановления</w:t>
      </w:r>
      <w:r>
        <w:rPr>
          <w:rFonts w:cs="Times New Roman" w:ascii="Times New Roman" w:hAnsi="Times New Roman"/>
          <w:sz w:val="28"/>
          <w:szCs w:val="28"/>
        </w:rPr>
        <w:t xml:space="preserve"> не усматривается.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  <w:br/>
        <w:t xml:space="preserve">от 25 августа 2012 г. № 851, принято решение об отказе от проведения общественного обсуждения уведомления о подготовке проекта </w:t>
      </w:r>
      <w:r>
        <w:rPr>
          <w:rFonts w:cs="Times New Roman" w:ascii="Times New Roman" w:hAnsi="Times New Roman"/>
          <w:sz w:val="28"/>
          <w:szCs w:val="28"/>
        </w:rPr>
        <w:t>постановления</w:t>
      </w:r>
      <w:r>
        <w:rPr>
          <w:rFonts w:cs="Times New Roman" w:ascii="Times New Roman" w:hAnsi="Times New Roman"/>
          <w:sz w:val="28"/>
          <w:szCs w:val="28"/>
        </w:rPr>
        <w:t>.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6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basedOn w:val="11"/>
    <w:qFormat/>
    <w:rPr/>
  </w:style>
  <w:style w:type="character" w:styleId="Style10" w:customStyle="1">
    <w:name w:val="Нижний колонтитул Знак"/>
    <w:basedOn w:val="11"/>
    <w:qFormat/>
    <w:rPr/>
  </w:style>
  <w:style w:type="character" w:styleId="Style11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2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;Times New Roman" w:hAnsi="PT Astra Serif;Times New Roman" w:cs="Noto Sans Devanagari;Times New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next w:val="Style1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styleId="Indexheading">
    <w:name w:val="index heading"/>
    <w:basedOn w:val="Style18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>
      <w:rFonts w:eastAsia="Times New Roma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13" w:customStyle="1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spacing w:lineRule="auto" w:line="240" w:before="0" w:after="0"/>
    </w:pPr>
    <w:rPr/>
  </w:style>
  <w:style w:type="paragraph" w:styleId="Style27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2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0504D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C0504D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9B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064A2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8064A2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BACC6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4BACC6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7964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7964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LibreOffice/7.4.3.2$Linux_X86_64 LibreOffice_project/40$Build-2</Application>
  <AppVersion>15.0000</AppVersion>
  <Pages>2</Pages>
  <Words>321</Words>
  <Characters>2423</Characters>
  <CharactersWithSpaces>2741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2026-04-10T11:05:00Z</dcterms:created>
  <dc:creator>Казакова Екатерина Аркадьевна</dc:creator>
  <dc:description/>
  <dc:language>ru-RU</dc:language>
  <cp:lastModifiedBy/>
  <cp:lastPrinted>2026-04-10T11:05:00Z</cp:lastPrinted>
  <dcterms:modified xsi:type="dcterms:W3CDTF">2026-04-10T17:33:04Z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