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EC33" w14:textId="77777777" w:rsidR="00DE5C3C" w:rsidRDefault="006F6124">
      <w:pPr>
        <w:spacing w:after="0" w:line="240" w:lineRule="auto"/>
        <w:ind w:left="581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УТВЕРЖДЕНЫ</w:t>
      </w:r>
    </w:p>
    <w:p w14:paraId="664B5257" w14:textId="77777777" w:rsidR="00DE5C3C" w:rsidRDefault="006F6124">
      <w:pPr>
        <w:spacing w:after="0" w:line="240" w:lineRule="auto"/>
        <w:ind w:left="581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72A2D082" w14:textId="77777777" w:rsidR="00DE5C3C" w:rsidRDefault="006F6124">
      <w:pPr>
        <w:spacing w:after="0" w:line="240" w:lineRule="auto"/>
        <w:ind w:left="581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Российской Федерации</w:t>
      </w:r>
    </w:p>
    <w:p w14:paraId="6B26038F" w14:textId="77777777" w:rsidR="00DE5C3C" w:rsidRDefault="006F6124">
      <w:pPr>
        <w:spacing w:after="0" w:line="240" w:lineRule="auto"/>
        <w:ind w:left="5812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  "     "                   № </w:t>
      </w:r>
    </w:p>
    <w:p w14:paraId="2C637A5D" w14:textId="77777777" w:rsidR="00DE5C3C" w:rsidRDefault="00DE5C3C">
      <w:pPr>
        <w:spacing w:after="0" w:line="240" w:lineRule="exact"/>
        <w:ind w:left="4962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F5A0D89" w14:textId="77777777" w:rsidR="00DE5C3C" w:rsidRDefault="00DE5C3C">
      <w:pPr>
        <w:spacing w:after="0" w:line="240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CC6331C" w14:textId="77777777" w:rsidR="00DE5C3C" w:rsidRDefault="00DE5C3C">
      <w:pPr>
        <w:spacing w:after="0" w:line="240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AA39A35" w14:textId="77777777" w:rsidR="00DE5C3C" w:rsidRDefault="00DE5C3C">
      <w:pPr>
        <w:spacing w:after="0" w:line="200" w:lineRule="exac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15F9F59" w14:textId="77777777" w:rsidR="00DE5C3C" w:rsidRDefault="006F61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 З М Е Н Е Н И Я,</w:t>
      </w:r>
    </w:p>
    <w:p w14:paraId="1C70E6BC" w14:textId="77777777" w:rsidR="00DE5C3C" w:rsidRDefault="006F61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которые вносятся в приложение № 44 к государственной программе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/>
        <w:t>Российской Федерации "Развитие образования"</w:t>
      </w:r>
    </w:p>
    <w:p w14:paraId="32508620" w14:textId="77777777" w:rsidR="00DE5C3C" w:rsidRDefault="00DE5C3C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6364C92" w14:textId="77777777" w:rsidR="00DE5C3C" w:rsidRDefault="00DE5C3C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C2459CC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1.  В пункте 2:</w:t>
      </w:r>
    </w:p>
    <w:p w14:paraId="1995E25E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а) абзац третий изложить в следующей редакции:</w:t>
      </w:r>
    </w:p>
    <w:p w14:paraId="261A0259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в 2027 году для реализации общеобразовательных программ по учебному предмету "Математика" в соответствии с основным перечнем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"Математика", согласно приложению № 4, учебному предмету "Химия" в соответствии с основным перечнем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"Химия", согласно приложению № 5, учебному предмету "Биология" в соответствии с основным перечнем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"Биология", согласно приложению № 6 и учебному предмету "Информатика" в соответствии с основным перечнем 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"Информатика", согласно приложению № 7 (далее - основные перечни средств обучения и воспитания по учебным предметам "Математика", "Химия", "Биология" и "Информатика").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14:paraId="4ED8CDC6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б) в абзаце пятом слова "с перечнем средств обучения и воспитания, с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основными перечнями средств обучения и воспитания по учебным предметам "Изобразительное искусство", "Музыка" и "Физика"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"с основными перечнями средств обучения и воспитания по учебным предметам "Изобразительное искусство", "Музыка" и "Физика" 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основными перечнями средств обучения и воспитания по учебным предметам "Математика", "Химия", "Биология" и "Информатика</w:t>
      </w:r>
      <w:r>
        <w:rPr>
          <w:rFonts w:ascii="Times New Roman" w:hAnsi="Times New Roman" w:cs="Times New Roman"/>
          <w:b w:val="0"/>
          <w:sz w:val="28"/>
          <w:szCs w:val="28"/>
        </w:rPr>
        <w:t>".</w:t>
      </w:r>
      <w:r w:rsidR="0061014B">
        <w:rPr>
          <w:rFonts w:ascii="Times New Roman" w:hAnsi="Times New Roman" w:cs="Times New Roman"/>
          <w:b w:val="0"/>
          <w:sz w:val="28"/>
          <w:szCs w:val="28"/>
        </w:rPr>
        <w:t>".</w:t>
      </w:r>
    </w:p>
    <w:p w14:paraId="6E5AFCAB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2. В пункте 7:</w:t>
      </w:r>
    </w:p>
    <w:p w14:paraId="339C20DC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а) абзац третий изложить в следующей редакции:</w:t>
      </w:r>
    </w:p>
    <w:p w14:paraId="07A571C4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В составе заявки на участие в отборе не могут быть указаны структурные подразделения общеобразовательных организаций, а также общеобразовательные организации: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14:paraId="710A1782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б) абзац пятый изложить в следующей редакции:</w:t>
      </w:r>
    </w:p>
    <w:p w14:paraId="2B34D5FB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ранее полностью оснащенные в соответствии с основными перечнями средств обучения и воспитания по учебным предметам "Математика", "Химия", "Биология" и "Информатика" или планируемые к оснащению в рамках иных проходящих и проводившихся мероприятий государственной программы Российской Федерации "Развитие образования" средствами обучения и воспитания по основным перечням средств обучения и воспитания по учебным предметам "Математика", "Химия", "Биология" и "Информатика".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14:paraId="2501CC7C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в) после абзаца пятого дополнить абзацем следующего содержания:</w:t>
      </w:r>
    </w:p>
    <w:p w14:paraId="510E83C4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61014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находящиеся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процессе реорганизации </w:t>
      </w:r>
      <w:r w:rsidR="0061014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форме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присоединения или ликвидации.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14:paraId="34E1E46C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В подпункте "б" пункта 11 слова "с перечнем средств обучения и воспитания" заменить словами "с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основными перечнями средств обучения и воспитания по учебным предметам "Математика", "Химия", "Биология" и "Информатика".</w:t>
      </w:r>
    </w:p>
    <w:p w14:paraId="5904E47D" w14:textId="77777777" w:rsidR="00DE5C3C" w:rsidRDefault="006F6124">
      <w:pPr>
        <w:pStyle w:val="ConsPlusTitle"/>
        <w:spacing w:line="360" w:lineRule="auto"/>
        <w:ind w:firstLine="73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4. Пункт 13 дополнить абзацами следующего содержания:</w:t>
      </w:r>
    </w:p>
    <w:p w14:paraId="2BBE86C6" w14:textId="77777777" w:rsidR="00DE5C3C" w:rsidRDefault="006F612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Arial" w:hAnsi="Times New Roman"/>
          <w:sz w:val="28"/>
          <w:szCs w:val="28"/>
        </w:rPr>
        <w:t xml:space="preserve">Средняя численность обучающихся по образовательным программам начального общего, основного общего и среднего общего образования в i-м субъекте Российской Федерации или в г. Байконуре </w:t>
      </w:r>
      <w:r>
        <w:rPr>
          <w:rFonts w:ascii="Times New Roman" w:eastAsia="Arial" w:hAnsi="Times New Roman"/>
          <w:sz w:val="28"/>
          <w:szCs w:val="28"/>
        </w:rPr>
        <w:br/>
        <w:t xml:space="preserve">на начало учебного года в общеобразовательных организациях, </w:t>
      </w:r>
      <w:r>
        <w:rPr>
          <w:rFonts w:ascii="Times New Roman" w:eastAsia="Arial" w:hAnsi="Times New Roman"/>
          <w:sz w:val="28"/>
          <w:szCs w:val="28"/>
        </w:rPr>
        <w:br/>
      </w:r>
      <w:r>
        <w:rPr>
          <w:rFonts w:ascii="Times New Roman" w:eastAsia="Arial" w:hAnsi="Times New Roman"/>
          <w:sz w:val="28"/>
          <w:szCs w:val="28"/>
        </w:rPr>
        <w:lastRenderedPageBreak/>
        <w:t xml:space="preserve">не оснащенных средствами обучения и воспитания, предусмотренными основными перечнями средств обучения и воспитания по учебным предметам "Математика", "Химия", "Биология" и "Информатика", в которых с 2027 года запланировано в соответствующем финансовом году оснащение </w:t>
      </w:r>
      <w:r>
        <w:rPr>
          <w:rFonts w:ascii="Times New Roman" w:hAnsi="Times New Roman"/>
          <w:spacing w:val="-4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Arial" w:hAnsi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Arial" w:hAnsi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/>
          <w:spacing w:val="-4"/>
          <w:sz w:val="28"/>
          <w:szCs w:val="28"/>
        </w:rPr>
        <w:t xml:space="preserve">), </w:t>
      </w:r>
      <w:r>
        <w:rPr>
          <w:rFonts w:ascii="Times New Roman" w:eastAsia="Arial" w:hAnsi="Times New Roman"/>
          <w:sz w:val="28"/>
          <w:szCs w:val="28"/>
        </w:rPr>
        <w:t>определяется по формуле:</w:t>
      </w:r>
    </w:p>
    <w:p w14:paraId="47451AF8" w14:textId="77777777" w:rsidR="00DE5C3C" w:rsidRDefault="00DE5C3C">
      <w:pPr>
        <w:spacing w:line="240" w:lineRule="atLeast"/>
        <w:jc w:val="both"/>
        <w:rPr>
          <w:rFonts w:ascii="Times New Roman" w:eastAsia="Arial" w:hAnsi="Times New Roman"/>
          <w:sz w:val="28"/>
          <w:szCs w:val="28"/>
        </w:rPr>
      </w:pPr>
    </w:p>
    <w:p w14:paraId="4128690C" w14:textId="77777777" w:rsidR="00DE5C3C" w:rsidRDefault="00000000">
      <w:pPr>
        <w:spacing w:line="240" w:lineRule="atLeast"/>
        <w:jc w:val="both"/>
        <w:rPr>
          <w:rFonts w:ascii="Times New Roman" w:eastAsia="Arial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Arial" w:hAnsi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="Arial" w:hAnsi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="Arial" w:hAnsi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Arial" w:hAnsi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="Arial" w:hAnsi="Times New Roman"/>
                  <w:sz w:val="28"/>
                  <w:szCs w:val="28"/>
                </w:rPr>
                <m:t>i</m:t>
              </m:r>
              <m:r>
                <w:rPr>
                  <w:rFonts w:ascii="Cambria Math" w:eastAsia="Arial" w:hAnsi="Times New Roman"/>
                  <w:sz w:val="28"/>
                  <w:szCs w:val="28"/>
                </w:rPr>
                <m:t>обв</m:t>
              </m:r>
            </m:sub>
          </m:sSub>
          <m:r>
            <w:rPr>
              <w:rFonts w:ascii="Cambria Math" w:eastAsia="Arial" w:hAnsi="Times New Roman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Arial" w:hAnsi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="Arial" w:hAnsi="Times New Roman"/>
                  <w:sz w:val="28"/>
                  <w:szCs w:val="28"/>
                </w:rPr>
                <m:t>i</m:t>
              </m:r>
              <m:r>
                <w:rPr>
                  <w:rFonts w:ascii="Cambria Math" w:eastAsia="Arial" w:hAnsi="Times New Roman"/>
                  <w:sz w:val="28"/>
                  <w:szCs w:val="28"/>
                </w:rPr>
                <m:t>шкп</m:t>
              </m:r>
              <m:r>
                <w:rPr>
                  <w:rFonts w:ascii="Cambria Math" w:eastAsia="Arial" w:hAnsi="Times New Roman"/>
                  <w:sz w:val="28"/>
                  <w:szCs w:val="28"/>
                </w:rPr>
                <m:t>2025</m:t>
              </m:r>
            </m:sub>
          </m:sSub>
          <m:r>
            <w:rPr>
              <w:rFonts w:ascii="Cambria Math" w:eastAsia="Arial" w:hAnsi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Arial" w:hAnsi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="Arial" w:hAnsi="Times New Roman"/>
                  <w:sz w:val="28"/>
                  <w:szCs w:val="28"/>
                </w:rPr>
                <m:t>з</m:t>
              </m:r>
              <m:r>
                <w:rPr>
                  <w:rFonts w:ascii="Cambria Math" w:eastAsia="Arial" w:hAnsi="Times New Roman"/>
                  <w:sz w:val="28"/>
                  <w:szCs w:val="28"/>
                </w:rPr>
                <m:t>2026</m:t>
              </m:r>
            </m:sub>
          </m:sSub>
          <m:r>
            <w:rPr>
              <w:rFonts w:ascii="Cambria Math" w:eastAsia="Arial" w:hAnsi="Times New Roman"/>
              <w:sz w:val="28"/>
              <w:szCs w:val="28"/>
            </w:rPr>
            <m:t>,</m:t>
          </m:r>
        </m:oMath>
      </m:oMathPara>
    </w:p>
    <w:p w14:paraId="4652B9BD" w14:textId="77777777" w:rsidR="00DE5C3C" w:rsidRDefault="00DE5C3C">
      <w:pPr>
        <w:spacing w:line="240" w:lineRule="atLeast"/>
        <w:jc w:val="both"/>
        <w:rPr>
          <w:rFonts w:ascii="Times New Roman" w:eastAsia="Arial" w:hAnsi="Times New Roman"/>
          <w:sz w:val="28"/>
          <w:szCs w:val="28"/>
        </w:rPr>
      </w:pPr>
    </w:p>
    <w:p w14:paraId="6EAC7354" w14:textId="77777777" w:rsidR="00DE5C3C" w:rsidRDefault="006F6124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где:</w:t>
      </w:r>
    </w:p>
    <w:p w14:paraId="68D15E64" w14:textId="77777777" w:rsidR="00DE5C3C" w:rsidRDefault="00000000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Arial" w:hAnsi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Arial" w:hAnsi="Times New Roman"/>
                <w:sz w:val="28"/>
                <w:szCs w:val="28"/>
              </w:rPr>
              <m:t>i</m:t>
            </m:r>
            <m:r>
              <w:rPr>
                <w:rFonts w:ascii="Cambria Math" w:eastAsia="Arial" w:hAnsi="Times New Roman"/>
                <w:sz w:val="28"/>
                <w:szCs w:val="28"/>
              </w:rPr>
              <m:t>обв</m:t>
            </m:r>
          </m:sub>
        </m:sSub>
      </m:oMath>
      <w:r w:rsidR="006F6124">
        <w:rPr>
          <w:rFonts w:ascii="Times New Roman" w:hAnsi="Times New Roman"/>
          <w:sz w:val="28"/>
          <w:szCs w:val="28"/>
        </w:rPr>
        <w:t>  </w:t>
      </w:r>
      <w:r w:rsidR="006F6124">
        <w:rPr>
          <w:rFonts w:ascii="Times New Roman" w:eastAsia="Arial" w:hAnsi="Times New Roman"/>
          <w:sz w:val="28"/>
          <w:szCs w:val="28"/>
        </w:rPr>
        <w:t xml:space="preserve">-  численность обучающихся по образовательным программам начального общего, основного общего и среднего общего образования </w:t>
      </w:r>
      <w:r w:rsidR="006F6124">
        <w:rPr>
          <w:rFonts w:ascii="Times New Roman" w:eastAsia="Arial" w:hAnsi="Times New Roman"/>
          <w:sz w:val="28"/>
          <w:szCs w:val="28"/>
        </w:rPr>
        <w:br/>
        <w:t>в i-м субъекте Российской Федерации или в г. Байконуре на начало учебного года, предшествующего текущему финансовому году, согласно федеральному статистическому наблюдению;</w:t>
      </w:r>
    </w:p>
    <w:p w14:paraId="431F0C5A" w14:textId="77777777" w:rsidR="00DE5C3C" w:rsidRDefault="00000000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i</m:t>
            </m:r>
            <m:r>
              <w:rPr>
                <w:rFonts w:ascii="Cambria Math" w:hAnsi="Times New Roman"/>
                <w:sz w:val="28"/>
                <w:szCs w:val="28"/>
              </w:rPr>
              <m:t>шкп</m:t>
            </m:r>
            <m:r>
              <w:rPr>
                <w:rFonts w:ascii="Cambria Math" w:hAnsi="Times New Roman"/>
                <w:sz w:val="28"/>
                <w:szCs w:val="28"/>
              </w:rPr>
              <m:t>2025</m:t>
            </m:r>
          </m:sub>
        </m:sSub>
      </m:oMath>
      <w:r w:rsidR="006F6124">
        <w:rPr>
          <w:rFonts w:ascii="Times New Roman" w:hAnsi="Times New Roman"/>
          <w:sz w:val="28"/>
          <w:szCs w:val="28"/>
        </w:rPr>
        <w:t>  </w:t>
      </w:r>
      <w:r w:rsidR="006F6124">
        <w:rPr>
          <w:rFonts w:ascii="Times New Roman" w:eastAsia="Arial" w:hAnsi="Times New Roman"/>
          <w:sz w:val="28"/>
          <w:szCs w:val="28"/>
        </w:rPr>
        <w:t>-  количество образовательных организаций, осуществляющих подготовку по образовательным программам начального общего, основного общего и среднего общего образования, в i-м субъекте Российской Федерации или в г. Байконуре в соответствующем финансовом году согласно федеральному статистическому наблюдению;</w:t>
      </w:r>
    </w:p>
    <w:p w14:paraId="1929B35C" w14:textId="77777777" w:rsidR="00DE5C3C" w:rsidRDefault="00000000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з</m:t>
            </m:r>
            <m:r>
              <w:rPr>
                <w:rFonts w:ascii="Cambria Math" w:hAnsi="Times New Roman"/>
                <w:sz w:val="28"/>
                <w:szCs w:val="28"/>
              </w:rPr>
              <m:t>2026</m:t>
            </m:r>
          </m:sub>
        </m:sSub>
      </m:oMath>
      <w:r w:rsidR="006F6124">
        <w:rPr>
          <w:rFonts w:ascii="Times New Roman" w:hAnsi="Times New Roman"/>
          <w:sz w:val="28"/>
          <w:szCs w:val="28"/>
        </w:rPr>
        <w:t>  </w:t>
      </w:r>
      <w:r w:rsidR="006F6124">
        <w:rPr>
          <w:rFonts w:ascii="Times New Roman" w:eastAsia="Arial" w:hAnsi="Times New Roman"/>
          <w:sz w:val="28"/>
          <w:szCs w:val="28"/>
        </w:rPr>
        <w:t xml:space="preserve">-  потребность i-го субъекта Российской Федерации </w:t>
      </w:r>
      <w:r w:rsidR="006F6124">
        <w:rPr>
          <w:rFonts w:ascii="Times New Roman" w:eastAsia="Arial" w:hAnsi="Times New Roman"/>
          <w:sz w:val="28"/>
          <w:szCs w:val="28"/>
        </w:rPr>
        <w:br/>
        <w:t xml:space="preserve">или в г. Байконура в оснащении общеобразовательных организаций, </w:t>
      </w:r>
      <w:r w:rsidR="006F6124">
        <w:rPr>
          <w:rFonts w:ascii="Times New Roman" w:eastAsia="Arial" w:hAnsi="Times New Roman"/>
          <w:sz w:val="28"/>
          <w:szCs w:val="28"/>
        </w:rPr>
        <w:br/>
        <w:t xml:space="preserve">не оснащенных средствами обучения и воспитания в соответствии </w:t>
      </w:r>
      <w:r w:rsidR="006F6124">
        <w:rPr>
          <w:rFonts w:ascii="Times New Roman" w:eastAsia="Arial" w:hAnsi="Times New Roman"/>
          <w:sz w:val="28"/>
          <w:szCs w:val="28"/>
        </w:rPr>
        <w:br/>
        <w:t xml:space="preserve">с основными </w:t>
      </w:r>
      <w:r w:rsidR="006F612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перечнями средств </w:t>
      </w:r>
      <w:r w:rsidR="006F6124">
        <w:rPr>
          <w:rFonts w:ascii="Times New Roman" w:eastAsia="Arial" w:hAnsi="Times New Roman"/>
          <w:sz w:val="28"/>
          <w:szCs w:val="28"/>
        </w:rPr>
        <w:t>обучения и воспитания</w:t>
      </w:r>
      <w:r w:rsidR="006F612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по учебным предметам </w:t>
      </w:r>
      <w:r w:rsidR="006F6124">
        <w:rPr>
          <w:rFonts w:ascii="Times New Roman" w:eastAsia="Arial" w:hAnsi="Times New Roman"/>
          <w:sz w:val="28"/>
          <w:szCs w:val="28"/>
        </w:rPr>
        <w:t>"Математика", "Химия", "Биология" и "Информатика"</w:t>
      </w:r>
      <w:r w:rsidR="006F6124">
        <w:rPr>
          <w:rFonts w:ascii="Times New Roman" w:eastAsia="Arial" w:hAnsi="Times New Roman"/>
          <w:sz w:val="28"/>
          <w:szCs w:val="28"/>
          <w:shd w:val="clear" w:color="auto" w:fill="FFFFFF"/>
        </w:rPr>
        <w:t>,</w:t>
      </w:r>
      <w:r w:rsidR="006F6124">
        <w:rPr>
          <w:rFonts w:ascii="Times New Roman" w:eastAsia="Arial" w:hAnsi="Times New Roman"/>
          <w:sz w:val="28"/>
          <w:szCs w:val="28"/>
        </w:rPr>
        <w:t xml:space="preserve"> представленная в заявке на участие в отборе (единиц).</w:t>
      </w:r>
      <w:r w:rsidR="006F6124">
        <w:rPr>
          <w:rFonts w:ascii="Times New Roman" w:eastAsia="Arial" w:hAnsi="Times New Roman" w:cs="Times New Roman"/>
          <w:sz w:val="28"/>
          <w:szCs w:val="28"/>
          <w:lang w:eastAsia="ru-RU"/>
        </w:rPr>
        <w:t>"</w:t>
      </w:r>
      <w:r w:rsidR="006F6124">
        <w:t>.</w:t>
      </w:r>
    </w:p>
    <w:p w14:paraId="6FD2A204" w14:textId="77777777" w:rsidR="00DE5C3C" w:rsidRDefault="006F61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Пункт 2 приложения № 2 к указанному приложению № 44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7E9E6C3C" w14:textId="77777777" w:rsidR="00DE5C3C" w:rsidRDefault="006F61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"2.  Пианино акустическое/цифровое/синтезатор с табуретом/банкеткой для пианино".</w:t>
      </w:r>
    </w:p>
    <w:p w14:paraId="1EAB3282" w14:textId="77777777" w:rsidR="00DE5C3C" w:rsidRDefault="006F61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Дополнить приложениями № 4 - 7 следующего содержания:</w:t>
      </w:r>
    </w:p>
    <w:p w14:paraId="28BD70AE" w14:textId="77777777" w:rsidR="00DE5C3C" w:rsidRDefault="006F61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069899AF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C7337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</w:t>
      </w:r>
    </w:p>
    <w:p w14:paraId="3AECD800" w14:textId="77777777" w:rsidR="00DE5C3C" w:rsidRDefault="00DE5C3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B275BBB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ПЕРЕЧЕНЬ</w:t>
      </w:r>
    </w:p>
    <w:p w14:paraId="1FF6E5B5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"Математика"</w:t>
      </w:r>
    </w:p>
    <w:p w14:paraId="5DD72340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1702791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чертежного оборудования и приспособлений </w:t>
      </w:r>
      <w:r>
        <w:rPr>
          <w:rFonts w:ascii="Times New Roman" w:hAnsi="Times New Roman" w:cs="Times New Roman"/>
          <w:sz w:val="28"/>
          <w:szCs w:val="28"/>
        </w:rPr>
        <w:br/>
        <w:t>для школьной доски (треугольник, транспортир, циркуль, линейка)</w:t>
      </w:r>
    </w:p>
    <w:p w14:paraId="66AAACEE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Модели для изучения геометрических фигур (части целого </w:t>
      </w:r>
      <w:r>
        <w:rPr>
          <w:rFonts w:ascii="Times New Roman" w:hAnsi="Times New Roman" w:cs="Times New Roman"/>
          <w:sz w:val="28"/>
          <w:szCs w:val="28"/>
          <w:lang w:bidi="hi-IN"/>
        </w:rPr>
        <w:br/>
        <w:t>на круге, тригонометрический круг, стереометрический набор, наборы геометрических моделей и фигур с разверткой)</w:t>
      </w:r>
    </w:p>
    <w:p w14:paraId="3CB91CB3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Модель-аппликация демонстрационная (касса) цифр</w:t>
      </w:r>
    </w:p>
    <w:p w14:paraId="248ECAA2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Модель-аппликация демонстрационная по множествам</w:t>
      </w:r>
    </w:p>
    <w:p w14:paraId="150066E5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карточки с цифрами и математическими знаками</w:t>
      </w:r>
    </w:p>
    <w:p w14:paraId="4B7821F4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раздаточные по математике для начальных классов</w:t>
      </w:r>
    </w:p>
    <w:p w14:paraId="5ABB6169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Словари, справочники, энциклопедии</w:t>
      </w:r>
    </w:p>
    <w:p w14:paraId="6194D5D4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по математике,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начальному программированию</w:t>
      </w:r>
    </w:p>
    <w:p w14:paraId="25DC1A4E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настольных развивающих игр по математике</w:t>
      </w:r>
    </w:p>
    <w:p w14:paraId="07E9F895" w14:textId="77777777" w:rsidR="00DE5C3C" w:rsidRDefault="006F6124">
      <w:pPr>
        <w:pStyle w:val="aff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Комплект портретов для оформления кабинета математики</w:t>
      </w:r>
    </w:p>
    <w:p w14:paraId="35F2223A" w14:textId="77777777" w:rsidR="00DE5C3C" w:rsidRDefault="006F6124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br w:type="page" w:clear="all"/>
      </w:r>
    </w:p>
    <w:p w14:paraId="2517EA75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A46C0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</w:t>
      </w:r>
    </w:p>
    <w:p w14:paraId="50C8E8B9" w14:textId="77777777" w:rsidR="00DE5C3C" w:rsidRDefault="00DE5C3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694EB28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ПЕРЕЧЕНЬ</w:t>
      </w:r>
    </w:p>
    <w:p w14:paraId="5A0E313A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"Химия"</w:t>
      </w:r>
    </w:p>
    <w:p w14:paraId="6D8353C9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2323E6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лабораторный демонстрационный (с защитным,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химостойким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термостойким покрытием, раковиной, бортиком по наружному краю, подводкой и отведением воды, сантехникой, электрическими розетками, автоматами аварийного отключения тока) </w:t>
      </w:r>
    </w:p>
    <w:p w14:paraId="3C91D7E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ученический лабораторный, регулируемый по высоте </w:t>
      </w:r>
      <w:r>
        <w:rPr>
          <w:rFonts w:ascii="Times New Roman" w:hAnsi="Times New Roman" w:cs="Times New Roman"/>
          <w:sz w:val="28"/>
          <w:szCs w:val="28"/>
        </w:rPr>
        <w:br/>
        <w:t xml:space="preserve">(с защитным,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химостойким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термостойким покрытием, раковиной, бортиком по наружному краю, подводкой и отведением воды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сантехникой)/стол ученический, регулируемый по высоте (только при наличии специального лабораторного островного стола) </w:t>
      </w:r>
    </w:p>
    <w:p w14:paraId="42149FD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вытяжной панорамный</w:t>
      </w:r>
    </w:p>
    <w:p w14:paraId="2C45F785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</w:t>
      </w:r>
    </w:p>
    <w:p w14:paraId="1335641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 для оказания первой помощи с применением медицинских изделий в организациях, осуществляющих образовательную деятельность</w:t>
      </w:r>
    </w:p>
    <w:p w14:paraId="024C7CE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Лабораторный островной стол (двухсторонний, с защитным,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химостойким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термостойким покрытием,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надстольем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подсветкой </w:t>
      </w:r>
      <w:r>
        <w:rPr>
          <w:rFonts w:ascii="Times New Roman" w:hAnsi="Times New Roman" w:cs="Times New Roman"/>
          <w:sz w:val="28"/>
          <w:szCs w:val="28"/>
        </w:rPr>
        <w:br/>
        <w:t>и электрическими розетками, подводкой и отведением воды и сантехникой) (при наличии химической лаборатории)</w:t>
      </w:r>
    </w:p>
    <w:p w14:paraId="4B5F66A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лабораторный, регулируемый по высоте (при наличии химической лаборатории)</w:t>
      </w:r>
    </w:p>
    <w:p w14:paraId="25F2073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Стол лабораторный демонстрационный (с защитным,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химостойким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термостойким покрытием, раковиной, бортиком по наружному краю, подводкой и отведением воды, сантехникой, электрическими розетками, автоматами аварийного отключения тока) (при наличии химической лаборатории)</w:t>
      </w:r>
    </w:p>
    <w:p w14:paraId="510C6F39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с ящиками для хранения/тумбой (при наличии химической лаборатории)</w:t>
      </w:r>
    </w:p>
    <w:p w14:paraId="6513C32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Кресло офисное (при наличии химической лаборатории)</w:t>
      </w:r>
    </w:p>
    <w:p w14:paraId="4232D37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Словари, справочники, энциклопедии</w:t>
      </w:r>
    </w:p>
    <w:p w14:paraId="32E822DA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учебных таблиц</w:t>
      </w:r>
    </w:p>
    <w:p w14:paraId="0E8DC0C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портретов для оформления кабинета химии</w:t>
      </w:r>
    </w:p>
    <w:p w14:paraId="6F28E23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система химических элементов Д.И. Менделеева электронная/Периодическая система химических элементов </w:t>
      </w:r>
      <w:r>
        <w:rPr>
          <w:rFonts w:ascii="Times New Roman" w:hAnsi="Times New Roman" w:cs="Times New Roman"/>
          <w:sz w:val="28"/>
          <w:szCs w:val="28"/>
        </w:rPr>
        <w:br/>
        <w:t>Д.И. Менделеева</w:t>
      </w:r>
    </w:p>
    <w:p w14:paraId="0E7A341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Пособия наглядной экспозиции по технике безопасности </w:t>
      </w:r>
    </w:p>
    <w:p w14:paraId="012E0CF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Генератор (источник) высокого напряжения </w:t>
      </w:r>
    </w:p>
    <w:p w14:paraId="5EB302D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иллюстрации зависимости скорости химических реакций от условий окружающей среды </w:t>
      </w:r>
    </w:p>
    <w:p w14:paraId="1480E00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 демонстрационный </w:t>
      </w:r>
    </w:p>
    <w:p w14:paraId="2F1F3D6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электролиза демонстрационный </w:t>
      </w:r>
    </w:p>
    <w:p w14:paraId="5C82FEC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опытов по химии с электрическим током (лабораторный) </w:t>
      </w:r>
    </w:p>
    <w:p w14:paraId="287586F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окисления спирта над медным катализатором </w:t>
      </w:r>
    </w:p>
    <w:p w14:paraId="3FC6932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галоидоалканов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демонстрационный </w:t>
      </w:r>
    </w:p>
    <w:p w14:paraId="40093E6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получения растворимых веществ в твердом виде </w:t>
      </w:r>
    </w:p>
    <w:p w14:paraId="3DACB8F5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для фильтрования под вакуумом </w:t>
      </w:r>
    </w:p>
    <w:p w14:paraId="2640754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определения состава воздуха </w:t>
      </w:r>
    </w:p>
    <w:p w14:paraId="11E022A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Газоанализатор кислорода и токсичных газов с цифровой индикацией показателей </w:t>
      </w:r>
    </w:p>
    <w:p w14:paraId="5E9F005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иллюстрации закона сохранения массы веществ </w:t>
      </w:r>
    </w:p>
    <w:p w14:paraId="14DC097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для перегонки веществ </w:t>
      </w:r>
    </w:p>
    <w:p w14:paraId="5864764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Барометр-анероид </w:t>
      </w:r>
    </w:p>
    <w:p w14:paraId="211B077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Прибор для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галоидоалканов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сложных эфиров лабораторный </w:t>
      </w:r>
    </w:p>
    <w:p w14:paraId="24F95EF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Колбонагреватель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D905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Электроплитка </w:t>
      </w:r>
    </w:p>
    <w:p w14:paraId="3C57F6B5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Баня комбинированная лабораторная </w:t>
      </w:r>
    </w:p>
    <w:p w14:paraId="15A05D1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Весы для сыпучих материалов/весы электронные с USB-переходником </w:t>
      </w:r>
    </w:p>
    <w:p w14:paraId="441F0A73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получения газов </w:t>
      </w:r>
    </w:p>
    <w:p w14:paraId="75E0BD3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Спиртовка лабораторная </w:t>
      </w:r>
    </w:p>
    <w:p w14:paraId="49C8905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 цифровой с руководством пользователя и пособием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учащихся </w:t>
      </w:r>
    </w:p>
    <w:p w14:paraId="2E5763C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Зажим винтовой </w:t>
      </w:r>
    </w:p>
    <w:p w14:paraId="699CA0C3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принадлежностей для монтажа простейших приборов по химии </w:t>
      </w:r>
    </w:p>
    <w:p w14:paraId="38D04B4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посуды и принадлежностей из пропилена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микролаборатория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9E3E47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лаборатория по химии для учителя </w:t>
      </w:r>
    </w:p>
    <w:p w14:paraId="26C079A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лаборатория по химии для ученика </w:t>
      </w:r>
    </w:p>
    <w:p w14:paraId="4106EB8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видеокамера с металлическим штативом для записи химических опытов и экспериментов </w:t>
      </w:r>
    </w:p>
    <w:p w14:paraId="4185A1C9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Шланг силиконовый</w:t>
      </w:r>
    </w:p>
    <w:p w14:paraId="3E9C616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Эксикатор</w:t>
      </w:r>
    </w:p>
    <w:p w14:paraId="10518DE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колб демонстрационных </w:t>
      </w:r>
    </w:p>
    <w:p w14:paraId="23BD967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пробок резиновых </w:t>
      </w:r>
    </w:p>
    <w:p w14:paraId="3B41E18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стеклянный </w:t>
      </w:r>
    </w:p>
    <w:p w14:paraId="69765F9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Пробирка двухколенная </w:t>
      </w:r>
    </w:p>
    <w:p w14:paraId="7D3D483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посуды для реактивов </w:t>
      </w:r>
    </w:p>
    <w:p w14:paraId="3308609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посуды и принадлежностей для работы с малыми количествами веществ </w:t>
      </w:r>
    </w:p>
    <w:p w14:paraId="636D547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стеклянной посуды на шлифах демонстрационный </w:t>
      </w:r>
    </w:p>
    <w:p w14:paraId="744D74F9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Дозирующее устройство (механическое) </w:t>
      </w:r>
    </w:p>
    <w:p w14:paraId="5A8D734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изделий из керамики, фарфора и фаянса </w:t>
      </w:r>
    </w:p>
    <w:p w14:paraId="7F8D8B7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ложек фарфоровых </w:t>
      </w:r>
    </w:p>
    <w:p w14:paraId="742C586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мерных колб малого объема </w:t>
      </w:r>
    </w:p>
    <w:p w14:paraId="6448512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Комплект мерных колб </w:t>
      </w:r>
    </w:p>
    <w:p w14:paraId="455DB74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мерных цилиндров пластиковых </w:t>
      </w:r>
    </w:p>
    <w:p w14:paraId="374E1463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мерных цилиндров стеклянных </w:t>
      </w:r>
    </w:p>
    <w:p w14:paraId="4970E6C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воронок стеклянных </w:t>
      </w:r>
    </w:p>
    <w:p w14:paraId="0B51CE0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пипеток </w:t>
      </w:r>
    </w:p>
    <w:p w14:paraId="5C5916A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стаканов пластиковых/стеклянных </w:t>
      </w:r>
    </w:p>
    <w:p w14:paraId="60C66B57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стаканов химических мерных </w:t>
      </w:r>
    </w:p>
    <w:p w14:paraId="3710D9A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стаканчиков для взвешивания </w:t>
      </w:r>
    </w:p>
    <w:p w14:paraId="1C7B78F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ступок с пестиками </w:t>
      </w:r>
    </w:p>
    <w:p w14:paraId="47DD9C7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шпателей </w:t>
      </w:r>
    </w:p>
    <w:p w14:paraId="1BC936B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пинцетов </w:t>
      </w:r>
    </w:p>
    <w:p w14:paraId="1143B829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чашек Петри </w:t>
      </w:r>
    </w:p>
    <w:p w14:paraId="6DFCB58A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Трубка стеклянная </w:t>
      </w:r>
    </w:p>
    <w:p w14:paraId="12CD5543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Чаша кристаллизационная </w:t>
      </w:r>
    </w:p>
    <w:p w14:paraId="6A4CB4F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Бюретка </w:t>
      </w:r>
    </w:p>
    <w:p w14:paraId="1BC8635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Пробирка </w:t>
      </w:r>
    </w:p>
    <w:p w14:paraId="7196FB9B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Банка под реактивы полиэтиленовая </w:t>
      </w:r>
    </w:p>
    <w:p w14:paraId="483F59B3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Банка под реактивы стеклянная из темного стекла с притертой пробкой </w:t>
      </w:r>
    </w:p>
    <w:p w14:paraId="4161138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склянок для растворов реактивов </w:t>
      </w:r>
    </w:p>
    <w:p w14:paraId="4437D4C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Палочка стеклянная </w:t>
      </w:r>
    </w:p>
    <w:p w14:paraId="2CEB8860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 для пробирок </w:t>
      </w:r>
    </w:p>
    <w:p w14:paraId="62DBA4CA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термометров </w:t>
      </w:r>
    </w:p>
    <w:p w14:paraId="1F4DB20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Зажим для пробирок </w:t>
      </w:r>
    </w:p>
    <w:p w14:paraId="02B3657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Соединитель стеклянный </w:t>
      </w:r>
    </w:p>
    <w:p w14:paraId="3747BB61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Вюрца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C407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Зажим Мора </w:t>
      </w:r>
    </w:p>
    <w:p w14:paraId="63723055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Воронка делительная </w:t>
      </w:r>
    </w:p>
    <w:p w14:paraId="2EB50692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Ступка фарфоровая с пестиком </w:t>
      </w:r>
    </w:p>
    <w:p w14:paraId="71C9D2C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Чашечка для выпаривания </w:t>
      </w:r>
    </w:p>
    <w:p w14:paraId="66A7D78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Фильтровальная бумага/фильтры бумажные </w:t>
      </w:r>
    </w:p>
    <w:p w14:paraId="50057CD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Комплект моделей кристаллических решеток </w:t>
      </w:r>
    </w:p>
    <w:p w14:paraId="7D94040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молекулы белка </w:t>
      </w:r>
    </w:p>
    <w:p w14:paraId="326C316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моделирования строения неорганических веществ </w:t>
      </w:r>
    </w:p>
    <w:p w14:paraId="7BB1002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моделирования строения органических веществ </w:t>
      </w:r>
    </w:p>
    <w:p w14:paraId="5060DFE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моделирования строения атомов и молекул </w:t>
      </w:r>
    </w:p>
    <w:p w14:paraId="2F7A1F59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моделирования электронного строения атомов </w:t>
      </w:r>
    </w:p>
    <w:p w14:paraId="7B1153E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коллекций </w:t>
      </w:r>
    </w:p>
    <w:p w14:paraId="62CD8695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химических реактивов (Набор № 1 С Кислоты; Набор № 3 ВС Щелочи; Набор № 5 С Органические вещества; Набор № 6 С Органические вещества; Набор № 7 С Минеральные удобрения; Набор № 8 С Иониты;  Набор № 9 ВС Образцы неорганических веществ; Набор № 11 С Соли для демонстрационных опытов;  Набор № 12 ВС Неорганические вещества для демонстрационных опытов; Набор № 13 ВС Галогениды; Набор № 14 ВС Сульфаты, сульфиты, сульфиды; Набор № 15 ВС Галогены; Набор № 16 ВС Металлы, оксиды; Набор 17 С Нитраты; Набор № 18 С Соединения хрома; Набор № 19 ВС Соединения марганца; Набор № 20 ВС Кислоты; Набор № 21 ВС Неорганические вещества; Набор № 22 ВС Индикаторы; Набор № 24 ВС Щелочные и щелочно-земельные металлы)</w:t>
      </w:r>
    </w:p>
    <w:p w14:paraId="01B0FA18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с ящиками для хранения/тумбой (для оборудования лаборантской кабинета химии и химической лаборатории)</w:t>
      </w:r>
    </w:p>
    <w:p w14:paraId="7D7716C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Кресло офисное (для оборудования лаборантской кабинета химии и химической лаборатории)</w:t>
      </w:r>
    </w:p>
    <w:p w14:paraId="5CB1A2A4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лабораторный моечный (для оборудования лаборантской кабинета химии и химической лаборатории)</w:t>
      </w:r>
    </w:p>
    <w:p w14:paraId="25B94FF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Сушильная панель для посуды (для оборудования лаборантской кабинета химии и химической лаборатории)</w:t>
      </w:r>
    </w:p>
    <w:p w14:paraId="513D56C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учебных пособий (для оборудования лаборантской кабинета химии и химической лаборатории)</w:t>
      </w:r>
    </w:p>
    <w:p w14:paraId="3937C66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химических реактивов металлический (для оборудования лаборантской кабинета химии и химической лаборатории)</w:t>
      </w:r>
    </w:p>
    <w:p w14:paraId="2BC3EFC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Шкаф для хранения лабораторной посуды/приборов (для оборудования лаборантской кабинета химии и химической лаборатории)</w:t>
      </w:r>
    </w:p>
    <w:p w14:paraId="16D3921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вытяжной (для оборудования лаборантской кабинета химии </w:t>
      </w:r>
      <w:r>
        <w:rPr>
          <w:rFonts w:ascii="Times New Roman" w:hAnsi="Times New Roman" w:cs="Times New Roman"/>
          <w:sz w:val="28"/>
          <w:szCs w:val="28"/>
        </w:rPr>
        <w:br/>
        <w:t>и химической лаборатории)</w:t>
      </w:r>
    </w:p>
    <w:p w14:paraId="4D997266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Лаборантский стол (для оборудования лаборантской кабинета химии и химической лаборатории)</w:t>
      </w:r>
    </w:p>
    <w:p w14:paraId="12C6834E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лабораторный (для оборудования лаборантской кабинета химии и химической лаборатории)</w:t>
      </w:r>
    </w:p>
    <w:p w14:paraId="64A80F6A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перчатки (для оборудования лаборантской кабинета химии и химической лаборатории)</w:t>
      </w:r>
    </w:p>
    <w:p w14:paraId="1E644BA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ершей для мытья лабораторной посуды (для оборудования лаборантской кабинета химии и химической лаборатории)</w:t>
      </w:r>
    </w:p>
    <w:p w14:paraId="08B7CA1F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сушильный (для оборудования лаборантской кабинета химии и химической лаборатории)</w:t>
      </w:r>
    </w:p>
    <w:p w14:paraId="0DD1C96D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аквадистиллятор (для оборудования лаборантской кабинета химии и химической лаборатории)</w:t>
      </w:r>
    </w:p>
    <w:p w14:paraId="44291CFC" w14:textId="77777777" w:rsidR="00DE5C3C" w:rsidRDefault="006F6124">
      <w:pPr>
        <w:pStyle w:val="aff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Огнеупорный шкаф для хранения легковоспламеняющихся, горючих и взрывоопасных веществ (для оборудования лаборантской кабинета химии и химической лаборатории)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"   </w:t>
      </w:r>
    </w:p>
    <w:p w14:paraId="7849C6D6" w14:textId="77777777" w:rsidR="00DE5C3C" w:rsidRDefault="00DE5C3C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5DF109" w14:textId="77777777" w:rsidR="00DE5C3C" w:rsidRDefault="00DE5C3C">
      <w:pPr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F4B252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569DBA5" w14:textId="77777777" w:rsidR="00DE5C3C" w:rsidRDefault="006F6124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br w:type="page" w:clear="all"/>
      </w:r>
    </w:p>
    <w:p w14:paraId="491BF2FA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536D6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</w:t>
      </w:r>
    </w:p>
    <w:p w14:paraId="0A559DAA" w14:textId="77777777" w:rsidR="00DE5C3C" w:rsidRDefault="00DE5C3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18E4825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ПЕРЕЧЕНЬ</w:t>
      </w:r>
    </w:p>
    <w:p w14:paraId="1A726E90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"Биология"</w:t>
      </w:r>
    </w:p>
    <w:p w14:paraId="330849DA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060B3B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Словари, справочники, энциклопедии</w:t>
      </w:r>
    </w:p>
    <w:p w14:paraId="62E9CAD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учебных таблиц</w:t>
      </w:r>
    </w:p>
    <w:p w14:paraId="3E18B131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портретов для оформления кабинета биологии</w:t>
      </w:r>
    </w:p>
    <w:p w14:paraId="54527905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влажных препаратов демонстрационный </w:t>
      </w:r>
    </w:p>
    <w:p w14:paraId="7AF994F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гербариев по систематике растений с определительными карточками </w:t>
      </w:r>
    </w:p>
    <w:p w14:paraId="53D409D7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коллекций демонстрационный </w:t>
      </w:r>
    </w:p>
    <w:p w14:paraId="088A55C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микроскоп бинокулярный (с камерой) </w:t>
      </w:r>
    </w:p>
    <w:p w14:paraId="3E0855A8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Палочка стеклянная </w:t>
      </w:r>
    </w:p>
    <w:p w14:paraId="60CADCA1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Зажим для пробирок </w:t>
      </w:r>
    </w:p>
    <w:p w14:paraId="617EFB15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Ложка для сжигания веществ </w:t>
      </w:r>
    </w:p>
    <w:p w14:paraId="5F73325D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Спиртовка лабораторная </w:t>
      </w:r>
    </w:p>
    <w:p w14:paraId="615FFC8A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 для пробирок </w:t>
      </w:r>
    </w:p>
    <w:p w14:paraId="3A682368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Воронка лабораторная </w:t>
      </w:r>
    </w:p>
    <w:p w14:paraId="48232E7D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Колба коническая/круглодонная </w:t>
      </w:r>
    </w:p>
    <w:p w14:paraId="08BB45DC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Пробирка </w:t>
      </w:r>
    </w:p>
    <w:p w14:paraId="1373B13D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Стакан </w:t>
      </w:r>
    </w:p>
    <w:p w14:paraId="586319F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Ступка фарфоровая с пестиком </w:t>
      </w:r>
    </w:p>
    <w:p w14:paraId="6CE9254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Цилиндр мерный </w:t>
      </w:r>
    </w:p>
    <w:p w14:paraId="4746EB61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микропрепаратов по анатомии, ботанике, зоологии, общей биологии </w:t>
      </w:r>
    </w:p>
    <w:p w14:paraId="06C0CE1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 школьный с подсветкой </w:t>
      </w:r>
    </w:p>
    <w:p w14:paraId="2DAE363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микроскоп </w:t>
      </w:r>
    </w:p>
    <w:p w14:paraId="0F63E116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предметных и покровных стекол </w:t>
      </w:r>
    </w:p>
    <w:p w14:paraId="05BEC67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Штатив-бокс для предметных стекол </w:t>
      </w:r>
    </w:p>
    <w:p w14:paraId="02CF681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препарирования </w:t>
      </w:r>
    </w:p>
    <w:p w14:paraId="69D8228C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Лоток для раздаточного материала </w:t>
      </w:r>
    </w:p>
    <w:p w14:paraId="23B254EB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Чашечка для выпаривания </w:t>
      </w:r>
    </w:p>
    <w:p w14:paraId="0B706FC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Промывалка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BCAF3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Шпатель прямой металлический </w:t>
      </w:r>
    </w:p>
    <w:p w14:paraId="6F25C0F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 демонстрационный </w:t>
      </w:r>
    </w:p>
    <w:p w14:paraId="1667B059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Тигель </w:t>
      </w:r>
    </w:p>
    <w:p w14:paraId="22E5153C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Щипцы тигельные </w:t>
      </w:r>
    </w:p>
    <w:p w14:paraId="496C5C8A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Электроплитка </w:t>
      </w:r>
    </w:p>
    <w:p w14:paraId="5D26E76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 бумажный </w:t>
      </w:r>
    </w:p>
    <w:p w14:paraId="38877EDB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видеокамера для работы с оптическими приборами цифровая </w:t>
      </w:r>
    </w:p>
    <w:p w14:paraId="411A72B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 демонстрационный </w:t>
      </w:r>
    </w:p>
    <w:p w14:paraId="2EB0E566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лаборатория по биологии и экологии для учителя </w:t>
      </w:r>
    </w:p>
    <w:p w14:paraId="535D55F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лаборатория по биологии и экологии для ученика </w:t>
      </w:r>
    </w:p>
    <w:p w14:paraId="3EB8C63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ПЦР-бокс с расходниками для проведения исследовательских работ по биологии и экологии </w:t>
      </w:r>
    </w:p>
    <w:p w14:paraId="519A119D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Центрифуга с пробирками </w:t>
      </w:r>
    </w:p>
    <w:p w14:paraId="1EA28CC1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демонстрации водных свойств почвы </w:t>
      </w:r>
    </w:p>
    <w:p w14:paraId="5CFE7DFC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изучения типов и качества почв </w:t>
      </w:r>
    </w:p>
    <w:p w14:paraId="2A341D64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демонстрации всасывания воды корнями </w:t>
      </w:r>
    </w:p>
    <w:p w14:paraId="2C584DE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для обнаружения дыхательного газообмена у растений и животных </w:t>
      </w:r>
    </w:p>
    <w:p w14:paraId="52B2A409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Бинокль </w:t>
      </w:r>
    </w:p>
    <w:p w14:paraId="2A4BE1C9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1A0C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Стекло предметное </w:t>
      </w:r>
    </w:p>
    <w:p w14:paraId="7122CEE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Стекло покровное </w:t>
      </w:r>
    </w:p>
    <w:p w14:paraId="5F698755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Стеклянный флакон с пипеткой </w:t>
      </w:r>
    </w:p>
    <w:p w14:paraId="6E799FEB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чашек Петри </w:t>
      </w:r>
    </w:p>
    <w:p w14:paraId="4AF8E49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моделей-аппликаций демонстрационный </w:t>
      </w:r>
    </w:p>
    <w:p w14:paraId="4967711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анатомических моделей демонстрационный </w:t>
      </w:r>
    </w:p>
    <w:p w14:paraId="206B5F1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палеонтологических муляжей </w:t>
      </w:r>
    </w:p>
    <w:p w14:paraId="522B00D7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ботанических моделей демонстрационный </w:t>
      </w:r>
    </w:p>
    <w:p w14:paraId="56CC270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зоологических моделей демонстрационный </w:t>
      </w:r>
    </w:p>
    <w:p w14:paraId="7100FE3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муляжей демонстрационный </w:t>
      </w:r>
    </w:p>
    <w:p w14:paraId="4E268928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Скелет человека </w:t>
      </w:r>
    </w:p>
    <w:p w14:paraId="3768AE74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Торс человека разборный </w:t>
      </w:r>
    </w:p>
    <w:p w14:paraId="45F979B2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моделей по общей биологии</w:t>
      </w:r>
    </w:p>
    <w:p w14:paraId="0EBE8E8A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скелетов различных классов животных </w:t>
      </w:r>
    </w:p>
    <w:p w14:paraId="3F6EF4B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типов соединения костей</w:t>
      </w:r>
    </w:p>
    <w:p w14:paraId="1EADD264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с ящиками для хранения/тумбой </w:t>
      </w:r>
    </w:p>
    <w:p w14:paraId="0D6D00A0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Кресло офисное (для оборудования лаборантской для кабинета биологии (при наличии)</w:t>
      </w:r>
    </w:p>
    <w:p w14:paraId="29BDB9BE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лабораторный моечный (для оборудования лаборантской для кабинета биологии (при наличии)</w:t>
      </w:r>
    </w:p>
    <w:p w14:paraId="6E8B69AA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Сушильная панель для посуды (для оборудования лаборантской для кабинета биологии (при наличии)</w:t>
      </w:r>
    </w:p>
    <w:p w14:paraId="75618F13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учебных пособий (для оборудования лаборантской для кабинета биологии (при наличии)</w:t>
      </w:r>
    </w:p>
    <w:p w14:paraId="3ABAB088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влажных препаратов, запирающийся на ключ (для оборудования лаборантской для кабинета биологии (при наличии)</w:t>
      </w:r>
    </w:p>
    <w:p w14:paraId="27132926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лабораторной посуды/приборов (для оборудования лаборантской для кабинета биологии (при наличии)</w:t>
      </w:r>
    </w:p>
    <w:p w14:paraId="251E652F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Лаборантский стол (для оборудования лаборантской для кабинета биологии (при наличии)</w:t>
      </w:r>
    </w:p>
    <w:p w14:paraId="1A1C6F67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лабораторный (для оборудования лаборантской для кабинета биологии (при наличии)</w:t>
      </w:r>
    </w:p>
    <w:p w14:paraId="4FEA8627" w14:textId="77777777" w:rsidR="00DE5C3C" w:rsidRDefault="006F6124">
      <w:pPr>
        <w:pStyle w:val="aff4"/>
        <w:numPr>
          <w:ilvl w:val="0"/>
          <w:numId w:val="3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ершей для мытья лабораторной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посуды(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оборудования лаборантской для кабинета биологии (при наличии)</w:t>
      </w:r>
    </w:p>
    <w:p w14:paraId="732967CC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67FF0F4" w14:textId="77777777" w:rsidR="00DE5C3C" w:rsidRDefault="006F6124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br w:type="page" w:clear="all"/>
      </w:r>
    </w:p>
    <w:p w14:paraId="454B6D39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A0077" w14:textId="77777777" w:rsidR="00DE5C3C" w:rsidRDefault="006F6124">
      <w:pPr>
        <w:pStyle w:val="ConsPlusNormal"/>
        <w:tabs>
          <w:tab w:val="left" w:pos="5954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</w:t>
      </w:r>
    </w:p>
    <w:p w14:paraId="09E0D07E" w14:textId="77777777" w:rsidR="00DE5C3C" w:rsidRDefault="00DE5C3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AB1D9C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ПЕРЕЧЕНЬ</w:t>
      </w:r>
    </w:p>
    <w:p w14:paraId="0F9BA71E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обучения и воспитания, соответствующих современным условиям обучения, необходимых при оснащении общеобразовательных организаций для реализации общеобразовательных программ по учебному предмету "Информатика"</w:t>
      </w:r>
    </w:p>
    <w:p w14:paraId="6166DB46" w14:textId="77777777" w:rsidR="00DE5C3C" w:rsidRDefault="00DE5C3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1F7012B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 бесперебойного питания</w:t>
      </w:r>
    </w:p>
    <w:p w14:paraId="3BF4A850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Персональный компьютер с периферией/ноутбук (лицензионное программное обеспечение и система защиты от вредоносной информации)</w:t>
      </w:r>
    </w:p>
    <w:p w14:paraId="33E9C8CC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 программного обеспечения для обучения языкам программирования и основ алгоритмизации</w:t>
      </w:r>
    </w:p>
    <w:p w14:paraId="2AC91BBE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Точка беспроводного доступа</w:t>
      </w:r>
    </w:p>
    <w:p w14:paraId="003A1581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Обжимной инструмент</w:t>
      </w:r>
    </w:p>
    <w:p w14:paraId="4F57A24C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Коммутатор</w:t>
      </w:r>
    </w:p>
    <w:p w14:paraId="6FFA0C6F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кабелей и переходников</w:t>
      </w:r>
    </w:p>
    <w:p w14:paraId="66BBE9D8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Коннекторы</w:t>
      </w:r>
    </w:p>
    <w:p w14:paraId="5206F67C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Кабель связи витая пара</w:t>
      </w:r>
    </w:p>
    <w:p w14:paraId="702AC5EA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Кресло компьютерное</w:t>
      </w:r>
    </w:p>
    <w:p w14:paraId="33F79E2A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Стол компьютерный</w:t>
      </w:r>
    </w:p>
    <w:p w14:paraId="3D7B8A59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Словари, справочники, энциклопедии</w:t>
      </w:r>
    </w:p>
    <w:p w14:paraId="4777510C" w14:textId="77777777" w:rsidR="00DE5C3C" w:rsidRDefault="006F6124">
      <w:pPr>
        <w:pStyle w:val="aff4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учебных таблиц ".</w:t>
      </w:r>
    </w:p>
    <w:p w14:paraId="476D1599" w14:textId="77777777" w:rsidR="00DE5C3C" w:rsidRDefault="00DE5C3C" w:rsidP="0061014B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3EE25910" w14:textId="77777777" w:rsidR="00DE5C3C" w:rsidRDefault="006F6124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___________</w:t>
      </w:r>
    </w:p>
    <w:p w14:paraId="0C7F836C" w14:textId="77777777" w:rsidR="00DE5C3C" w:rsidRDefault="00DE5C3C">
      <w:pPr>
        <w:widowControl w:val="0"/>
        <w:jc w:val="right"/>
      </w:pPr>
    </w:p>
    <w:sectPr w:rsidR="00DE5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7048" w14:textId="77777777" w:rsidR="000009B8" w:rsidRDefault="000009B8">
      <w:pPr>
        <w:spacing w:after="0" w:line="240" w:lineRule="auto"/>
      </w:pPr>
      <w:r>
        <w:separator/>
      </w:r>
    </w:p>
  </w:endnote>
  <w:endnote w:type="continuationSeparator" w:id="0">
    <w:p w14:paraId="502390BB" w14:textId="77777777" w:rsidR="000009B8" w:rsidRDefault="0000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swiss"/>
    <w:pitch w:val="variable"/>
    <w:sig w:usb0="80008023" w:usb1="00002046" w:usb2="00000000" w:usb3="00000000" w:csb0="00000001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7BE3" w14:textId="77777777" w:rsidR="00DE5C3C" w:rsidRDefault="00DE5C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6306" w14:textId="77777777" w:rsidR="00DE5C3C" w:rsidRDefault="006F6124">
    <w:pPr>
      <w:pStyle w:val="aa"/>
    </w:pPr>
    <w:r>
      <w:rPr>
        <w:rFonts w:ascii="Times New Roman" w:hAnsi="Times New Roman" w:cs="Times New Roman"/>
        <w:sz w:val="16"/>
        <w:szCs w:val="16"/>
      </w:rPr>
      <w:t>Изменения - 03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822F" w14:textId="77777777" w:rsidR="00DE5C3C" w:rsidRDefault="006F6124">
    <w:pPr>
      <w:pStyle w:val="aa"/>
    </w:pPr>
    <w:r>
      <w:rPr>
        <w:rFonts w:ascii="Times New Roman" w:hAnsi="Times New Roman" w:cs="Times New Roman"/>
        <w:sz w:val="16"/>
        <w:szCs w:val="16"/>
      </w:rPr>
      <w:t>Изменения - 03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0E53" w14:textId="77777777" w:rsidR="000009B8" w:rsidRDefault="000009B8">
      <w:pPr>
        <w:spacing w:after="0" w:line="240" w:lineRule="auto"/>
      </w:pPr>
      <w:r>
        <w:separator/>
      </w:r>
    </w:p>
  </w:footnote>
  <w:footnote w:type="continuationSeparator" w:id="0">
    <w:p w14:paraId="5131EEAA" w14:textId="77777777" w:rsidR="000009B8" w:rsidRDefault="0000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513A" w14:textId="77777777" w:rsidR="00DE5C3C" w:rsidRDefault="00DE5C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BADF" w14:textId="77777777" w:rsidR="00DE5C3C" w:rsidRDefault="006F6124">
    <w:pPr>
      <w:pStyle w:val="1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</w:instrText>
    </w:r>
    <w:r>
      <w:rPr>
        <w:rFonts w:ascii="Times New Roman" w:hAnsi="Times New Roman" w:cs="Times New Roman"/>
        <w:sz w:val="24"/>
      </w:rPr>
      <w:fldChar w:fldCharType="separate"/>
    </w:r>
    <w:r w:rsidR="0061014B">
      <w:rPr>
        <w:rFonts w:ascii="Times New Roman" w:hAnsi="Times New Roman" w:cs="Times New Roman"/>
        <w:noProof/>
        <w:sz w:val="24"/>
      </w:rPr>
      <w:t>15</w:t>
    </w:r>
    <w:r>
      <w:rPr>
        <w:rFonts w:ascii="Times New Roman" w:hAnsi="Times New Roman" w:cs="Times New Roman"/>
        <w:sz w:val="24"/>
      </w:rPr>
      <w:fldChar w:fldCharType="end"/>
    </w:r>
  </w:p>
  <w:p w14:paraId="736EAC83" w14:textId="77777777" w:rsidR="00DE5C3C" w:rsidRDefault="00DE5C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9DBB" w14:textId="77777777" w:rsidR="00DE5C3C" w:rsidRDefault="00DE5C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B14"/>
    <w:multiLevelType w:val="hybridMultilevel"/>
    <w:tmpl w:val="0D34FADA"/>
    <w:lvl w:ilvl="0" w:tplc="4426F37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C7EA1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76450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4CB1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13C37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7E4F0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7A9D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464FD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BFA53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E165B5"/>
    <w:multiLevelType w:val="hybridMultilevel"/>
    <w:tmpl w:val="2D64CE6E"/>
    <w:lvl w:ilvl="0" w:tplc="D8C466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61411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1043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44697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95A98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FCE8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60A1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5EFE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5FAD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44D0F1C"/>
    <w:multiLevelType w:val="hybridMultilevel"/>
    <w:tmpl w:val="AC14F47E"/>
    <w:lvl w:ilvl="0" w:tplc="4F166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ADE9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27C6E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C6C8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4C1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D82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F21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E2E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064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D72FDA"/>
    <w:multiLevelType w:val="hybridMultilevel"/>
    <w:tmpl w:val="068CA622"/>
    <w:lvl w:ilvl="0" w:tplc="D8249F64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color w:val="auto"/>
      </w:rPr>
    </w:lvl>
    <w:lvl w:ilvl="1" w:tplc="643CA9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0007B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9EFD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A060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32E5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1EEC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EBABC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5E20D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151D26"/>
    <w:multiLevelType w:val="hybridMultilevel"/>
    <w:tmpl w:val="C808643C"/>
    <w:lvl w:ilvl="0" w:tplc="D530396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D0DD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EC4C0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342E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5634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AA4C8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51E82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1C93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BBCA7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CA3593"/>
    <w:multiLevelType w:val="hybridMultilevel"/>
    <w:tmpl w:val="014E7CFE"/>
    <w:lvl w:ilvl="0" w:tplc="78F84202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color w:val="auto"/>
      </w:rPr>
    </w:lvl>
    <w:lvl w:ilvl="1" w:tplc="962A52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0DE53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8E8E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538F7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E22B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ABE3D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96F1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2EE7B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23038321">
    <w:abstractNumId w:val="5"/>
  </w:num>
  <w:num w:numId="2" w16cid:durableId="776019733">
    <w:abstractNumId w:val="0"/>
  </w:num>
  <w:num w:numId="3" w16cid:durableId="1465274670">
    <w:abstractNumId w:val="4"/>
  </w:num>
  <w:num w:numId="4" w16cid:durableId="127600845">
    <w:abstractNumId w:val="3"/>
  </w:num>
  <w:num w:numId="5" w16cid:durableId="2066636489">
    <w:abstractNumId w:val="2"/>
  </w:num>
  <w:num w:numId="6" w16cid:durableId="151349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C"/>
    <w:rsid w:val="000009B8"/>
    <w:rsid w:val="0008766E"/>
    <w:rsid w:val="0011061F"/>
    <w:rsid w:val="0061014B"/>
    <w:rsid w:val="006707C2"/>
    <w:rsid w:val="006C0A0B"/>
    <w:rsid w:val="006F6124"/>
    <w:rsid w:val="00917339"/>
    <w:rsid w:val="00993EE2"/>
    <w:rsid w:val="00B202B9"/>
    <w:rsid w:val="00C14DF5"/>
    <w:rsid w:val="00DE5C3C"/>
    <w:rsid w:val="00EF243E"/>
    <w:rsid w:val="00F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19FD"/>
  <w15:docId w15:val="{6D41129E-71C6-48BD-A20F-E0BEE619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2">
    <w:name w:val="Цитата 2 Знак"/>
    <w:link w:val="23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12">
    <w:name w:val="Верхний колонтитул Знак1"/>
    <w:basedOn w:val="a0"/>
    <w:link w:val="a9"/>
    <w:qFormat/>
  </w:style>
  <w:style w:type="character" w:customStyle="1" w:styleId="FooterChar">
    <w:name w:val="Footer Char"/>
    <w:basedOn w:val="a0"/>
    <w:qFormat/>
  </w:style>
  <w:style w:type="character" w:customStyle="1" w:styleId="13">
    <w:name w:val="Нижний колонтитул Знак1"/>
    <w:link w:val="aa"/>
    <w:qFormat/>
  </w:style>
  <w:style w:type="character" w:customStyle="1" w:styleId="ab">
    <w:name w:val="Текст сноски Знак"/>
    <w:link w:val="ac"/>
    <w:qFormat/>
    <w:rPr>
      <w:sz w:val="18"/>
    </w:rPr>
  </w:style>
  <w:style w:type="character" w:customStyle="1" w:styleId="ad">
    <w:name w:val="Символ сноски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qFormat/>
    <w:rPr>
      <w:sz w:val="20"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Hyperlink"/>
    <w:basedOn w:val="a0"/>
    <w:rPr>
      <w:color w:val="0000FF"/>
      <w:u w:val="single"/>
    </w:rPr>
  </w:style>
  <w:style w:type="character" w:customStyle="1" w:styleId="af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basedOn w:val="a0"/>
    <w:qFormat/>
  </w:style>
  <w:style w:type="character" w:customStyle="1" w:styleId="af6">
    <w:name w:val="Нижний колонтитул Знак"/>
    <w:basedOn w:val="a0"/>
    <w:uiPriority w:val="99"/>
    <w:qFormat/>
  </w:style>
  <w:style w:type="character" w:styleId="af7">
    <w:name w:val="annotation reference"/>
    <w:basedOn w:val="a0"/>
    <w:qFormat/>
    <w:rPr>
      <w:sz w:val="16"/>
      <w:szCs w:val="16"/>
    </w:rPr>
  </w:style>
  <w:style w:type="character" w:customStyle="1" w:styleId="af8">
    <w:name w:val="Текст примечания Знак"/>
    <w:basedOn w:val="a0"/>
    <w:qFormat/>
    <w:rPr>
      <w:sz w:val="20"/>
      <w:szCs w:val="20"/>
    </w:rPr>
  </w:style>
  <w:style w:type="character" w:customStyle="1" w:styleId="af9">
    <w:name w:val="Тема примечания Знак"/>
    <w:basedOn w:val="af8"/>
    <w:qFormat/>
    <w:rPr>
      <w:b/>
      <w:bCs/>
      <w:sz w:val="20"/>
      <w:szCs w:val="20"/>
    </w:rPr>
  </w:style>
  <w:style w:type="character" w:styleId="afa">
    <w:name w:val="line number"/>
  </w:style>
  <w:style w:type="character" w:styleId="afb">
    <w:name w:val="Strong"/>
    <w:qFormat/>
    <w:rPr>
      <w:b/>
      <w:bCs/>
    </w:rPr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fd"/>
    <w:link w:val="a3"/>
    <w:qFormat/>
    <w:pPr>
      <w:spacing w:before="3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4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1">
    <w:name w:val="No Spacing"/>
    <w:qFormat/>
  </w:style>
  <w:style w:type="paragraph" w:styleId="a6">
    <w:name w:val="Subtitle"/>
    <w:basedOn w:val="a"/>
    <w:next w:val="a"/>
    <w:link w:val="a5"/>
    <w:qFormat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12"/>
    <w:pPr>
      <w:tabs>
        <w:tab w:val="center" w:pos="7143"/>
        <w:tab w:val="right" w:pos="14287"/>
      </w:tabs>
      <w:spacing w:after="0" w:line="240" w:lineRule="auto"/>
    </w:pPr>
  </w:style>
  <w:style w:type="paragraph" w:styleId="aa">
    <w:name w:val="footer"/>
    <w:basedOn w:val="a"/>
    <w:link w:val="13"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note text"/>
    <w:basedOn w:val="a"/>
    <w:link w:val="ab"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pPr>
      <w:spacing w:after="0" w:line="240" w:lineRule="auto"/>
    </w:pPr>
    <w:rPr>
      <w:sz w:val="20"/>
    </w:rPr>
  </w:style>
  <w:style w:type="paragraph" w:styleId="15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f2">
    <w:name w:val="TOC Heading"/>
    <w:qFormat/>
  </w:style>
  <w:style w:type="paragraph" w:styleId="aff3">
    <w:name w:val="table of figures"/>
    <w:basedOn w:val="a"/>
    <w:next w:val="a"/>
    <w:pPr>
      <w:spacing w:after="0"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eastAsia="Arial" w:cs="Calibri"/>
      <w:sz w:val="22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Arial" w:cs="Calibri"/>
      <w:b/>
      <w:sz w:val="22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6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Колонтитул"/>
    <w:basedOn w:val="a"/>
    <w:qFormat/>
  </w:style>
  <w:style w:type="paragraph" w:customStyle="1" w:styleId="aff8">
    <w:name w:val="Верхний и нижний колонтитулы"/>
    <w:basedOn w:val="a"/>
    <w:qFormat/>
  </w:style>
  <w:style w:type="paragraph" w:customStyle="1" w:styleId="17">
    <w:name w:val="Верх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Ниж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annotation text"/>
    <w:basedOn w:val="a"/>
    <w:pPr>
      <w:spacing w:line="240" w:lineRule="auto"/>
    </w:pPr>
    <w:rPr>
      <w:sz w:val="20"/>
      <w:szCs w:val="20"/>
    </w:rPr>
  </w:style>
  <w:style w:type="paragraph" w:styleId="affa">
    <w:name w:val="annotation subject"/>
    <w:basedOn w:val="aff9"/>
    <w:next w:val="aff9"/>
    <w:qFormat/>
    <w:rPr>
      <w:b/>
      <w:bCs/>
    </w:rPr>
  </w:style>
  <w:style w:type="paragraph" w:styleId="affb">
    <w:name w:val="Revision"/>
    <w:qFormat/>
    <w:rPr>
      <w:sz w:val="22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2689</Words>
  <Characters>15332</Characters>
  <Application>Microsoft Office Word</Application>
  <DocSecurity>0</DocSecurity>
  <Lines>127</Lines>
  <Paragraphs>35</Paragraphs>
  <ScaleCrop>false</ScaleCrop>
  <Company>Home</Company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Юрьевна</dc:creator>
  <dc:description/>
  <cp:lastModifiedBy>Пользователь</cp:lastModifiedBy>
  <cp:revision>2</cp:revision>
  <dcterms:created xsi:type="dcterms:W3CDTF">2026-04-09T13:47:00Z</dcterms:created>
  <dcterms:modified xsi:type="dcterms:W3CDTF">2026-04-09T13:47:00Z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