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E471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BF3CAD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9D8C6B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BBDEC0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907225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8B60FE" w14:textId="77777777" w:rsidR="005212B6" w:rsidRPr="003320EA" w:rsidRDefault="005212B6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EF8043" w14:textId="20CFD291" w:rsidR="00B35AEF" w:rsidRPr="003320EA" w:rsidRDefault="00B35AEF" w:rsidP="003320EA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BCE54A" w14:textId="38649D67" w:rsidR="00C8367D" w:rsidRPr="003320EA" w:rsidRDefault="001226C3" w:rsidP="003320EA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320EA">
        <w:rPr>
          <w:rFonts w:ascii="Times New Roman" w:hAnsi="Times New Roman" w:cs="Times New Roman"/>
          <w:sz w:val="28"/>
          <w:szCs w:val="28"/>
        </w:rPr>
        <w:t>Об утверждении методики оценки эффективности налогового расхода Российской Федерации, связанного с налоговым вычетом в сумме акциза, исчисленного при получении природного газа для производства аммиака на новых производственных мощностях</w:t>
      </w:r>
    </w:p>
    <w:p w14:paraId="1FB5033A" w14:textId="77777777" w:rsidR="00B35AEF" w:rsidRPr="003320EA" w:rsidRDefault="00B35AEF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14:paraId="7E499C83" w14:textId="57441E83" w:rsidR="00B35AEF" w:rsidRPr="003320EA" w:rsidRDefault="00B35AEF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</w:rPr>
        <w:t xml:space="preserve">В соответствии </w:t>
      </w:r>
      <w:r w:rsidR="00ED20CB" w:rsidRPr="003320EA">
        <w:rPr>
          <w:sz w:val="28"/>
          <w:szCs w:val="28"/>
        </w:rPr>
        <w:t xml:space="preserve">с пунктом 37 статьи 200 Налогового кодекса </w:t>
      </w:r>
      <w:r w:rsidR="0071787A">
        <w:rPr>
          <w:sz w:val="28"/>
          <w:szCs w:val="28"/>
        </w:rPr>
        <w:br/>
      </w:r>
      <w:r w:rsidR="00ED20CB" w:rsidRPr="003320EA">
        <w:rPr>
          <w:sz w:val="28"/>
          <w:szCs w:val="28"/>
        </w:rPr>
        <w:t>Российской Федерации,</w:t>
      </w:r>
      <w:r w:rsidRPr="003320EA">
        <w:rPr>
          <w:sz w:val="28"/>
          <w:szCs w:val="28"/>
        </w:rPr>
        <w:t xml:space="preserve"> пунктом 2 постановления Правительства Российской Федерации от 12 апреля 2019 г. </w:t>
      </w:r>
      <w:r w:rsidR="001226C3" w:rsidRPr="003320EA">
        <w:rPr>
          <w:sz w:val="28"/>
          <w:szCs w:val="28"/>
        </w:rPr>
        <w:t>№</w:t>
      </w:r>
      <w:r w:rsidRPr="003320EA">
        <w:rPr>
          <w:sz w:val="28"/>
          <w:szCs w:val="28"/>
        </w:rPr>
        <w:t xml:space="preserve"> 439 </w:t>
      </w:r>
      <w:r w:rsidR="00852647" w:rsidRPr="003320EA">
        <w:rPr>
          <w:sz w:val="28"/>
          <w:szCs w:val="28"/>
        </w:rPr>
        <w:t>«</w:t>
      </w:r>
      <w:r w:rsidRPr="003320EA">
        <w:rPr>
          <w:sz w:val="28"/>
          <w:szCs w:val="28"/>
        </w:rPr>
        <w:t>Об утверждении Правил формирования перечня налоговых расходов Российской Федерации и оценки налоговых расходов Российской Федерации</w:t>
      </w:r>
      <w:r w:rsidR="00852647" w:rsidRPr="003320EA">
        <w:rPr>
          <w:sz w:val="28"/>
          <w:szCs w:val="28"/>
        </w:rPr>
        <w:t>»</w:t>
      </w:r>
      <w:r w:rsidRPr="003320EA">
        <w:rPr>
          <w:sz w:val="28"/>
          <w:szCs w:val="28"/>
        </w:rPr>
        <w:t xml:space="preserve">, абзацем третьим пункта 3 постановления Правительства Российской Федерации от 15 апреля 2014 г. </w:t>
      </w:r>
      <w:r w:rsidR="001226C3" w:rsidRPr="003320EA">
        <w:rPr>
          <w:sz w:val="28"/>
          <w:szCs w:val="28"/>
        </w:rPr>
        <w:t>№</w:t>
      </w:r>
      <w:r w:rsidRPr="003320EA">
        <w:rPr>
          <w:sz w:val="28"/>
          <w:szCs w:val="28"/>
        </w:rPr>
        <w:t xml:space="preserve"> 328 </w:t>
      </w:r>
      <w:r w:rsidR="00852647" w:rsidRPr="003320EA">
        <w:rPr>
          <w:sz w:val="28"/>
          <w:szCs w:val="28"/>
        </w:rPr>
        <w:t>«</w:t>
      </w:r>
      <w:r w:rsidRPr="003320EA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852647" w:rsidRPr="003320EA">
        <w:rPr>
          <w:sz w:val="28"/>
          <w:szCs w:val="28"/>
        </w:rPr>
        <w:t>«</w:t>
      </w:r>
      <w:r w:rsidRPr="003320EA">
        <w:rPr>
          <w:sz w:val="28"/>
          <w:szCs w:val="28"/>
        </w:rPr>
        <w:t>Развитие промышленности и повышение ее конкурентоспособности</w:t>
      </w:r>
      <w:r w:rsidR="00852647" w:rsidRPr="003320EA">
        <w:rPr>
          <w:sz w:val="28"/>
          <w:szCs w:val="28"/>
        </w:rPr>
        <w:t>»</w:t>
      </w:r>
      <w:r w:rsidRPr="003320EA">
        <w:rPr>
          <w:sz w:val="28"/>
          <w:szCs w:val="28"/>
        </w:rPr>
        <w:t xml:space="preserve"> </w:t>
      </w:r>
      <w:r w:rsidR="001226C3" w:rsidRPr="003320EA">
        <w:rPr>
          <w:sz w:val="28"/>
          <w:szCs w:val="28"/>
        </w:rPr>
        <w:t>п р и к а з ы в а ю</w:t>
      </w:r>
      <w:r w:rsidRPr="003320EA">
        <w:rPr>
          <w:sz w:val="28"/>
          <w:szCs w:val="28"/>
        </w:rPr>
        <w:t>:</w:t>
      </w:r>
    </w:p>
    <w:p w14:paraId="690642A0" w14:textId="77777777" w:rsidR="00B35AEF" w:rsidRPr="003320EA" w:rsidRDefault="00B35AEF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</w:rPr>
        <w:t xml:space="preserve">1. Утвердить прилагаемую методику оценки эффективности налогового расхода Российской Федерации, связанного с </w:t>
      </w:r>
      <w:r w:rsidR="00ED20CB" w:rsidRPr="003320EA">
        <w:rPr>
          <w:sz w:val="28"/>
          <w:szCs w:val="28"/>
        </w:rPr>
        <w:t>налоговым вычетом в сумме акциза, исчисленного при получении природного газа для производства аммиака на новых производственных мощностях</w:t>
      </w:r>
      <w:r w:rsidRPr="003320EA">
        <w:rPr>
          <w:sz w:val="28"/>
          <w:szCs w:val="28"/>
        </w:rPr>
        <w:t>.</w:t>
      </w:r>
    </w:p>
    <w:p w14:paraId="3036E9B0" w14:textId="26F88C36" w:rsidR="00B35AEF" w:rsidRPr="003320EA" w:rsidRDefault="00B35AEF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</w:rPr>
        <w:t xml:space="preserve">2. Контроль за исполнением настоящего приказа возложить на заместителя Министра промышленности и торговли Российской Федерации </w:t>
      </w:r>
      <w:r w:rsidR="0071787A">
        <w:rPr>
          <w:sz w:val="28"/>
          <w:szCs w:val="28"/>
        </w:rPr>
        <w:t>М.Н. Юрина.</w:t>
      </w:r>
    </w:p>
    <w:p w14:paraId="45AFDE8D" w14:textId="5EA85C6C" w:rsidR="00B35AEF" w:rsidRDefault="00B35AEF" w:rsidP="003320EA">
      <w:pPr>
        <w:pStyle w:val="ConsPlusNormal"/>
        <w:spacing w:line="360" w:lineRule="auto"/>
        <w:jc w:val="both"/>
        <w:rPr>
          <w:sz w:val="28"/>
          <w:szCs w:val="28"/>
        </w:rPr>
      </w:pPr>
    </w:p>
    <w:p w14:paraId="7BEE8375" w14:textId="77777777" w:rsidR="003320EA" w:rsidRPr="003320EA" w:rsidRDefault="003320EA" w:rsidP="003320EA">
      <w:pPr>
        <w:pStyle w:val="ConsPlusNormal"/>
        <w:spacing w:line="360" w:lineRule="auto"/>
        <w:jc w:val="both"/>
        <w:rPr>
          <w:sz w:val="28"/>
          <w:szCs w:val="28"/>
        </w:rPr>
      </w:pPr>
    </w:p>
    <w:p w14:paraId="5088AEF4" w14:textId="0F6BA87B" w:rsidR="001226C3" w:rsidRPr="003320EA" w:rsidRDefault="001226C3" w:rsidP="003320EA">
      <w:pPr>
        <w:pStyle w:val="ConsPlusNormal"/>
        <w:spacing w:line="360" w:lineRule="auto"/>
        <w:jc w:val="both"/>
        <w:rPr>
          <w:sz w:val="28"/>
          <w:szCs w:val="28"/>
        </w:rPr>
      </w:pPr>
      <w:r w:rsidRPr="003320EA">
        <w:rPr>
          <w:sz w:val="28"/>
          <w:szCs w:val="28"/>
        </w:rPr>
        <w:t xml:space="preserve">Министр </w:t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</w:r>
      <w:r w:rsidRPr="003320EA">
        <w:rPr>
          <w:sz w:val="28"/>
          <w:szCs w:val="28"/>
        </w:rPr>
        <w:tab/>
        <w:t xml:space="preserve">         А.А. Алиханов</w:t>
      </w:r>
    </w:p>
    <w:p w14:paraId="364CA427" w14:textId="77777777" w:rsidR="001226C3" w:rsidRPr="003320EA" w:rsidRDefault="001226C3" w:rsidP="003320EA">
      <w:pPr>
        <w:pStyle w:val="ConsPlusNormal"/>
        <w:spacing w:line="360" w:lineRule="auto"/>
        <w:jc w:val="right"/>
        <w:rPr>
          <w:sz w:val="28"/>
          <w:szCs w:val="28"/>
        </w:rPr>
        <w:sectPr w:rsidR="001226C3" w:rsidRPr="003320EA" w:rsidSect="001226C3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21D68E85" w14:textId="3335E987" w:rsidR="00B35AEF" w:rsidRPr="003320EA" w:rsidRDefault="00B35AEF" w:rsidP="003320EA">
      <w:pPr>
        <w:pStyle w:val="ConsPlusNormal"/>
        <w:spacing w:line="360" w:lineRule="auto"/>
        <w:jc w:val="right"/>
        <w:rPr>
          <w:sz w:val="28"/>
          <w:szCs w:val="28"/>
        </w:rPr>
      </w:pPr>
    </w:p>
    <w:p w14:paraId="3F2644B8" w14:textId="1D0D5A06" w:rsidR="00B35AEF" w:rsidRPr="003320EA" w:rsidRDefault="001226C3" w:rsidP="003320EA">
      <w:pPr>
        <w:pStyle w:val="ConsPlusNormal"/>
        <w:spacing w:line="360" w:lineRule="auto"/>
        <w:jc w:val="right"/>
        <w:outlineLvl w:val="0"/>
        <w:rPr>
          <w:sz w:val="28"/>
          <w:szCs w:val="28"/>
        </w:rPr>
      </w:pPr>
      <w:r w:rsidRPr="003320EA">
        <w:rPr>
          <w:sz w:val="28"/>
          <w:szCs w:val="28"/>
        </w:rPr>
        <w:t>УТВЕРЖДЕНА</w:t>
      </w:r>
    </w:p>
    <w:p w14:paraId="3A27121C" w14:textId="77777777" w:rsidR="00B35AEF" w:rsidRPr="003320EA" w:rsidRDefault="00B35AEF" w:rsidP="003320EA">
      <w:pPr>
        <w:pStyle w:val="ConsPlusNormal"/>
        <w:spacing w:line="360" w:lineRule="auto"/>
        <w:jc w:val="right"/>
        <w:rPr>
          <w:sz w:val="28"/>
          <w:szCs w:val="28"/>
        </w:rPr>
      </w:pPr>
      <w:r w:rsidRPr="003320EA">
        <w:rPr>
          <w:sz w:val="28"/>
          <w:szCs w:val="28"/>
        </w:rPr>
        <w:t>приказом Минпромторга России</w:t>
      </w:r>
    </w:p>
    <w:p w14:paraId="66C1657A" w14:textId="502DF891" w:rsidR="00B35AEF" w:rsidRPr="003320EA" w:rsidRDefault="0071787A" w:rsidP="003320EA">
      <w:pPr>
        <w:pStyle w:val="ConsPlusNormal"/>
        <w:spacing w:line="360" w:lineRule="auto"/>
        <w:jc w:val="right"/>
        <w:rPr>
          <w:caps/>
          <w:sz w:val="28"/>
          <w:szCs w:val="28"/>
        </w:rPr>
      </w:pPr>
      <w:r>
        <w:rPr>
          <w:sz w:val="28"/>
          <w:szCs w:val="28"/>
        </w:rPr>
        <w:t>от __________</w:t>
      </w:r>
      <w:r w:rsidR="00B35AEF" w:rsidRPr="003320EA">
        <w:rPr>
          <w:sz w:val="28"/>
          <w:szCs w:val="28"/>
        </w:rPr>
        <w:t xml:space="preserve"> 202</w:t>
      </w:r>
      <w:r w:rsidR="003320EA">
        <w:rPr>
          <w:sz w:val="28"/>
          <w:szCs w:val="28"/>
        </w:rPr>
        <w:t>6</w:t>
      </w:r>
      <w:r w:rsidR="00B35AEF" w:rsidRPr="003320EA">
        <w:rPr>
          <w:sz w:val="28"/>
          <w:szCs w:val="28"/>
        </w:rPr>
        <w:t xml:space="preserve"> г. </w:t>
      </w:r>
      <w:r>
        <w:rPr>
          <w:sz w:val="28"/>
          <w:szCs w:val="28"/>
        </w:rPr>
        <w:t>№ _____</w:t>
      </w:r>
    </w:p>
    <w:p w14:paraId="0037761C" w14:textId="77777777" w:rsidR="001226C3" w:rsidRPr="003320EA" w:rsidRDefault="001226C3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45EDC87" w14:textId="4A8F8D95" w:rsidR="00B35AEF" w:rsidRPr="003320EA" w:rsidRDefault="00B35AEF" w:rsidP="003320EA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320EA">
        <w:rPr>
          <w:rFonts w:ascii="Times New Roman" w:hAnsi="Times New Roman" w:cs="Times New Roman"/>
          <w:caps/>
          <w:sz w:val="28"/>
          <w:szCs w:val="28"/>
        </w:rPr>
        <w:t>МЕТОДИКА</w:t>
      </w:r>
      <w:r w:rsidRPr="003320EA">
        <w:rPr>
          <w:rFonts w:ascii="Times New Roman" w:hAnsi="Times New Roman" w:cs="Times New Roman"/>
          <w:caps/>
          <w:sz w:val="28"/>
          <w:szCs w:val="28"/>
        </w:rPr>
        <w:br/>
      </w:r>
      <w:r w:rsidR="001226C3" w:rsidRPr="003320EA">
        <w:rPr>
          <w:rFonts w:ascii="Times New Roman" w:hAnsi="Times New Roman" w:cs="Times New Roman"/>
          <w:sz w:val="28"/>
          <w:szCs w:val="28"/>
        </w:rPr>
        <w:t>оценки эффективности налогового расхода Российской</w:t>
      </w:r>
    </w:p>
    <w:p w14:paraId="663EED66" w14:textId="54D4D81E" w:rsidR="00B35AEF" w:rsidRPr="003320EA" w:rsidRDefault="001226C3" w:rsidP="003320EA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320EA">
        <w:rPr>
          <w:rFonts w:ascii="Times New Roman" w:hAnsi="Times New Roman" w:cs="Times New Roman"/>
          <w:sz w:val="28"/>
          <w:szCs w:val="28"/>
        </w:rPr>
        <w:t>Федерации, связанного с налоговым вычетом в сумме акциза, исчисленного при получении природного газа для производства аммиака на новых производственных мощностях</w:t>
      </w:r>
    </w:p>
    <w:p w14:paraId="17265167" w14:textId="77777777" w:rsidR="00B35AEF" w:rsidRPr="003320EA" w:rsidRDefault="00B35AEF" w:rsidP="003320EA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21D3490" w14:textId="4C591035" w:rsidR="003320EA" w:rsidRPr="003320EA" w:rsidRDefault="003320EA" w:rsidP="003320EA">
      <w:pPr>
        <w:pStyle w:val="ConsPlusNormal"/>
        <w:adjustRightInd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1. Настоящая Методика используется в отношении налогового расхода Российской Федерации, связанного с налоговым вычетом в сумме акциза, исчисленного при получении природного газа для производства аммиака на новых производственных мощностях, предусмотренным пунктом 37 статьи 200 Налогового кодекса Российской Федерации (далее соответственно – плательщик, налоговый расход, льгота).</w:t>
      </w:r>
    </w:p>
    <w:p w14:paraId="35763C6C" w14:textId="5FFFB24F" w:rsidR="003320EA" w:rsidRPr="003320EA" w:rsidRDefault="003320EA" w:rsidP="003320EA">
      <w:pPr>
        <w:pStyle w:val="ConsPlusNormal"/>
        <w:adjustRightInd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2. Оценка эффективности налогового расхода проводится Министерством промышленности и торговли Российской Федерации ежегодно, в период со дня получения от Министерства финансов Российской Федерации сведений, предусмотренных пунктом 12 Правил формирования перечня налоговых расходов Российской Федерации и оценки налоговых расходов Российской Федерации, утвержденных постановлением Правительства Российской Федерации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от 12 апреля 2019 г. </w:t>
      </w:r>
      <w:r>
        <w:rPr>
          <w:color w:val="000000" w:themeColor="text1"/>
          <w:sz w:val="28"/>
          <w:szCs w:val="28"/>
        </w:rPr>
        <w:t>№</w:t>
      </w:r>
      <w:r w:rsidRPr="003320EA">
        <w:rPr>
          <w:color w:val="000000" w:themeColor="text1"/>
          <w:sz w:val="28"/>
          <w:szCs w:val="28"/>
        </w:rPr>
        <w:t xml:space="preserve"> 439 (далее – Правила), до 15 декабря. Уточнение оценки эффективности налогового расхода проводится в срок до 1 марта очередного года.</w:t>
      </w:r>
    </w:p>
    <w:p w14:paraId="13F8D95A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3. Настоящая Методика определяет совокупность мероприятий, подходов, позволяющих сделать вывод о целесообразности и результативности предоставления плательщикам льготы.</w:t>
      </w:r>
    </w:p>
    <w:p w14:paraId="4CB6FB35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4. Целевая категория налогового расхода относится к стимулирующим налоговым расходам Российской Федерации.</w:t>
      </w:r>
    </w:p>
    <w:p w14:paraId="1D9814F7" w14:textId="00F83039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5. В качестве источников информации о нормативных, целевых и фискальных характеристиках налогового расхода, подлежащей включению в паспорт налогового </w:t>
      </w:r>
      <w:r w:rsidRPr="003320EA">
        <w:rPr>
          <w:color w:val="000000" w:themeColor="text1"/>
          <w:sz w:val="28"/>
          <w:szCs w:val="28"/>
        </w:rPr>
        <w:lastRenderedPageBreak/>
        <w:t xml:space="preserve">расхода Российской Федерации, а также используемой для проведения оценки эффективности налогового расхода, в соответствии с настоящей Методикой используются данные Министерства промышленности и торговли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 и Министерства финансов Российской Федерации, направляемые в соответствии с пунктом 12 Правил.</w:t>
      </w:r>
    </w:p>
    <w:p w14:paraId="5D5F4C55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6. Оценка эффективности налогового расхода включает в себя оценку целесообразности налогового расхода и оценку результативности налогового расхода.</w:t>
      </w:r>
    </w:p>
    <w:p w14:paraId="2C0034BE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0" w:name="P49"/>
      <w:bookmarkEnd w:id="0"/>
      <w:r w:rsidRPr="003320EA">
        <w:rPr>
          <w:color w:val="000000" w:themeColor="text1"/>
          <w:sz w:val="28"/>
          <w:szCs w:val="28"/>
        </w:rPr>
        <w:t>7. В соответствии с пунктом 13 Правил оценка целесообразности налогового расхода проводится по следующим критериям:</w:t>
      </w:r>
    </w:p>
    <w:p w14:paraId="1EF42B07" w14:textId="7AA27929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а) соответствие налогового расхода целям государственных программ Российской Федерации и (или) целям социально-экономической политики Российской Федерации, не относящимся к государственным программам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Федерации;</w:t>
      </w:r>
    </w:p>
    <w:p w14:paraId="18236265" w14:textId="40D12A9C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б) востребованность плательщиками льготы, которая характеризуется соотношением численности плательщиков, воспользовавшихся правом на льготу,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и численности плательщиков, обладающих потенциальным правом на применение льготы, за 5-летний период.</w:t>
      </w:r>
    </w:p>
    <w:p w14:paraId="46DC75E1" w14:textId="1AE3D5BF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8. Налоговый расход должен соответствовать критериям целесообразности, указанным в </w:t>
      </w:r>
      <w:hyperlink w:anchor="P49" w:tooltip="7. В соответствии с пунктом 13 Правил оценка целесообразности налогового расхода проводится в соответствии с настоящим пунктом по следующим критериям:">
        <w:r w:rsidRPr="003320EA">
          <w:rPr>
            <w:color w:val="000000" w:themeColor="text1"/>
            <w:sz w:val="28"/>
            <w:szCs w:val="28"/>
          </w:rPr>
          <w:t>пункте 7</w:t>
        </w:r>
      </w:hyperlink>
      <w:r w:rsidRPr="003320EA">
        <w:rPr>
          <w:color w:val="000000" w:themeColor="text1"/>
          <w:sz w:val="28"/>
          <w:szCs w:val="28"/>
        </w:rPr>
        <w:t xml:space="preserve"> настоящей Методики. В случае несоответствия налогового расхода хотя бы одному из таких критериев Министерство промышленности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и торговли Российской Федерации представляет в Министерство финансов Российской Федерации предложения о сохранении (уточнении, отмене) льготы, обусловливающей налоговый расход.</w:t>
      </w:r>
      <w:bookmarkStart w:id="1" w:name="P53"/>
      <w:bookmarkEnd w:id="1"/>
    </w:p>
    <w:p w14:paraId="12A317D3" w14:textId="5AEBA231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9. Налоговый расход оказывает влияние на достижение задачи «Повышение конкурентоспособности продукции химической промышленности путем наращивания объемов выпуска продукции химического комплекса и увеличения объемов экспорта продукции химической промышленности» государственной программы Российской Федерации «Развитие промышленности и повышение ее конкурентоспособности» утвержденной постановлением Правительства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Российской </w:t>
      </w:r>
      <w:r w:rsidRPr="003320EA">
        <w:rPr>
          <w:color w:val="000000" w:themeColor="text1"/>
          <w:sz w:val="28"/>
          <w:szCs w:val="28"/>
        </w:rPr>
        <w:lastRenderedPageBreak/>
        <w:t xml:space="preserve">Федерации от 15 апреля 2014 г. </w:t>
      </w:r>
      <w:r>
        <w:rPr>
          <w:color w:val="000000" w:themeColor="text1"/>
          <w:sz w:val="28"/>
          <w:szCs w:val="28"/>
        </w:rPr>
        <w:t>№</w:t>
      </w:r>
      <w:r w:rsidRPr="003320EA">
        <w:rPr>
          <w:color w:val="000000" w:themeColor="text1"/>
          <w:sz w:val="28"/>
          <w:szCs w:val="28"/>
        </w:rPr>
        <w:t xml:space="preserve"> 328 «Об утверждении государственной программы Российской Федерации «Развитие промышленности и повышение ее конкурентоспособности» (далее – Государственной программы) и выражается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в фискальном стимулировании создания новых аммиачных производственных мощностей.</w:t>
      </w:r>
    </w:p>
    <w:p w14:paraId="44425B6C" w14:textId="7C8875B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Востребованность плательщиками льготы определяется как соотношение численности плательщиков, воспользовавшихся правом на льготу, и численности плательщиков, обладающих потенциальным правом на применение льготы,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за 5-летний период по следующей формуле:</w:t>
      </w:r>
    </w:p>
    <w:p w14:paraId="40BA26AF" w14:textId="77777777" w:rsidR="003320EA" w:rsidRPr="003320EA" w:rsidRDefault="003320EA" w:rsidP="003320EA">
      <w:pPr>
        <w:pStyle w:val="ConsPlusNormal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3B68A383" w14:textId="628C9E82" w:rsidR="003320EA" w:rsidRPr="003320EA" w:rsidRDefault="003320EA" w:rsidP="0071787A">
      <w:pPr>
        <w:pStyle w:val="ConsPlusNormal"/>
        <w:spacing w:line="360" w:lineRule="auto"/>
        <w:jc w:val="center"/>
        <w:rPr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</w:rPr>
            <m:t>Lj=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Bi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pi</m:t>
                          </m:r>
                        </m:sub>
                      </m:sSub>
                    </m:den>
                  </m:f>
                </m:e>
              </m:nary>
            </m:num>
            <m:den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*100%</m:t>
          </m:r>
        </m:oMath>
      </m:oMathPara>
      <w:bookmarkStart w:id="2" w:name="_GoBack"/>
      <w:bookmarkEnd w:id="2"/>
    </w:p>
    <w:p w14:paraId="3855A82A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где:</w:t>
      </w:r>
    </w:p>
    <w:p w14:paraId="4921295A" w14:textId="2E77B6A5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L</w:t>
      </w:r>
      <w:r w:rsidRPr="003320EA">
        <w:rPr>
          <w:color w:val="000000" w:themeColor="text1"/>
          <w:sz w:val="28"/>
          <w:szCs w:val="28"/>
          <w:lang w:val="en-US"/>
        </w:rPr>
        <w:t>j</w:t>
      </w:r>
      <w:r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</w:rPr>
        <w:t>– востребованность плательщиками льготы, %;</w:t>
      </w:r>
    </w:p>
    <w:p w14:paraId="183C3039" w14:textId="3B661DAC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  <w:lang w:val="en-US"/>
        </w:rPr>
        <w:t>j</w:t>
      </w:r>
      <w:r w:rsidRPr="003320EA">
        <w:rPr>
          <w:color w:val="000000" w:themeColor="text1"/>
          <w:sz w:val="28"/>
          <w:szCs w:val="28"/>
        </w:rPr>
        <w:t xml:space="preserve"> – </w:t>
      </w:r>
      <w:proofErr w:type="gramStart"/>
      <w:r w:rsidRPr="003320EA">
        <w:rPr>
          <w:color w:val="000000" w:themeColor="text1"/>
          <w:sz w:val="28"/>
          <w:szCs w:val="28"/>
        </w:rPr>
        <w:t>порядковый</w:t>
      </w:r>
      <w:proofErr w:type="gramEnd"/>
      <w:r w:rsidRPr="003320EA">
        <w:rPr>
          <w:color w:val="000000" w:themeColor="text1"/>
          <w:sz w:val="28"/>
          <w:szCs w:val="28"/>
        </w:rPr>
        <w:t xml:space="preserve"> номер года, имеющий значение от 1 до 5;</w:t>
      </w:r>
    </w:p>
    <w:p w14:paraId="5812BBF8" w14:textId="43225D2D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O</w:t>
      </w:r>
      <w:r w:rsidRPr="003320EA">
        <w:rPr>
          <w:color w:val="000000" w:themeColor="text1"/>
          <w:sz w:val="28"/>
          <w:szCs w:val="28"/>
          <w:vertAlign w:val="subscript"/>
        </w:rPr>
        <w:t>B</w:t>
      </w:r>
      <w:proofErr w:type="spellStart"/>
      <w:r w:rsidRPr="003320EA">
        <w:rPr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3320EA">
        <w:rPr>
          <w:color w:val="000000" w:themeColor="text1"/>
          <w:sz w:val="28"/>
          <w:szCs w:val="28"/>
        </w:rPr>
        <w:t xml:space="preserve"> – численность плательщиков, воспользовавшихся правом на получение налоговой льготы, по данным, ежегодно предоставляемым Министерством финансов Российской Федерации, шт.;</w:t>
      </w:r>
    </w:p>
    <w:p w14:paraId="61C1FAF3" w14:textId="5669EEB1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3320EA">
        <w:rPr>
          <w:color w:val="000000" w:themeColor="text1"/>
          <w:sz w:val="28"/>
          <w:szCs w:val="28"/>
        </w:rPr>
        <w:t>O</w:t>
      </w:r>
      <w:r w:rsidRPr="003320EA">
        <w:rPr>
          <w:color w:val="000000" w:themeColor="text1"/>
          <w:sz w:val="28"/>
          <w:szCs w:val="28"/>
          <w:vertAlign w:val="subscript"/>
        </w:rPr>
        <w:t>p</w:t>
      </w:r>
      <w:r w:rsidRPr="003320EA">
        <w:rPr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3320EA">
        <w:rPr>
          <w:color w:val="000000" w:themeColor="text1"/>
          <w:sz w:val="28"/>
          <w:szCs w:val="28"/>
        </w:rPr>
        <w:t xml:space="preserve"> – численность плательщиков, обладающих потенциальным правом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на применение льготы с учетом сроков, предусмотренных законодательством о налогах и сборах, шт.</w:t>
      </w:r>
    </w:p>
    <w:p w14:paraId="69C51EA8" w14:textId="7DD0EFB2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К плательщикам, обладающим потенциальным правом на применение льготы, относятся налогоплательщики - производители аммиака на новых производственных мощностях, впервые введенных в эксплуатацию после 1 января 2025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(далее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в настоящем пункте – новые производственные мощности), или на производственных мощностях, введенных в эксплуатацию до 1 января 2025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и создание (приобретение, строительство) которых является предметом заключенного и действующего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на 1 января 2025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специального инвестиционного контракта в соответствии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с </w:t>
      </w:r>
      <w:r w:rsidRPr="003320EA">
        <w:rPr>
          <w:color w:val="000000" w:themeColor="text1"/>
          <w:sz w:val="28"/>
          <w:szCs w:val="28"/>
        </w:rPr>
        <w:lastRenderedPageBreak/>
        <w:t>Федеральным законом от 31 декабря 2014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320EA">
        <w:rPr>
          <w:color w:val="000000" w:themeColor="text1"/>
          <w:sz w:val="28"/>
          <w:szCs w:val="28"/>
        </w:rPr>
        <w:t xml:space="preserve"> 488-ФЗ «О промышленной политике в Российской Федерации» (далее – СПИК).</w:t>
      </w:r>
    </w:p>
    <w:p w14:paraId="5937E97B" w14:textId="40EFA50A" w:rsidR="003320EA" w:rsidRDefault="003320EA" w:rsidP="003320EA">
      <w:pPr>
        <w:pStyle w:val="ConsPlusNormal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Налоговая льгота считается востребованной в случае, если значение L</w:t>
      </w:r>
      <w:r w:rsidRPr="003320EA">
        <w:rPr>
          <w:color w:val="000000" w:themeColor="text1"/>
          <w:sz w:val="28"/>
          <w:szCs w:val="28"/>
          <w:lang w:val="en-US"/>
        </w:rPr>
        <w:t>j</w:t>
      </w:r>
      <w:r w:rsidRPr="003320EA">
        <w:rPr>
          <w:color w:val="000000" w:themeColor="text1"/>
          <w:sz w:val="28"/>
          <w:szCs w:val="28"/>
        </w:rPr>
        <w:t xml:space="preserve"> больше или равно 30</w:t>
      </w:r>
      <w:r w:rsidR="0071787A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</w:rPr>
        <w:t>%.</w:t>
      </w:r>
    </w:p>
    <w:p w14:paraId="14A437F8" w14:textId="0C65E954" w:rsidR="003320EA" w:rsidRPr="003320EA" w:rsidRDefault="003320EA" w:rsidP="003320EA">
      <w:pPr>
        <w:pStyle w:val="ConsPlusNormal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Источником информации для определения численности плательщиков, обладающих потенциальным правом на применение льготы (</w:t>
      </w:r>
      <w:proofErr w:type="spellStart"/>
      <w:r w:rsidRPr="003320EA">
        <w:rPr>
          <w:color w:val="000000" w:themeColor="text1"/>
          <w:sz w:val="28"/>
          <w:szCs w:val="28"/>
        </w:rPr>
        <w:t>O</w:t>
      </w:r>
      <w:r w:rsidRPr="003320EA">
        <w:rPr>
          <w:color w:val="000000" w:themeColor="text1"/>
          <w:sz w:val="28"/>
          <w:szCs w:val="28"/>
          <w:vertAlign w:val="subscript"/>
        </w:rPr>
        <w:t>p</w:t>
      </w:r>
      <w:r w:rsidRPr="003320EA">
        <w:rPr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3320EA">
        <w:rPr>
          <w:color w:val="000000" w:themeColor="text1"/>
          <w:sz w:val="28"/>
          <w:szCs w:val="28"/>
          <w:vertAlign w:val="subscript"/>
        </w:rPr>
        <w:t>)</w:t>
      </w:r>
      <w:r w:rsidRPr="003320EA">
        <w:rPr>
          <w:color w:val="000000" w:themeColor="text1"/>
          <w:sz w:val="28"/>
          <w:szCs w:val="28"/>
        </w:rPr>
        <w:t xml:space="preserve"> являются данные Министерства промышленности и торговли Российской Федерации. Источником сведений о производителях аммиака на новых производственных мощностях являются данные компаний, предоставляемые по запросу Министерства промышленности и торговли Российской Федерации. Источником сведений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о производителях аммиака на производственных мощностях, введенных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в эксплуатацию до 1 января 2025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и создание (приобретение, строительство) которых является предметом заключенного и действующего на 1 января 2025 г</w:t>
      </w:r>
      <w:r>
        <w:rPr>
          <w:color w:val="000000" w:themeColor="text1"/>
          <w:sz w:val="28"/>
          <w:szCs w:val="28"/>
        </w:rPr>
        <w:t>.</w:t>
      </w:r>
      <w:r w:rsidRPr="003320EA">
        <w:rPr>
          <w:color w:val="000000" w:themeColor="text1"/>
          <w:sz w:val="28"/>
          <w:szCs w:val="28"/>
        </w:rPr>
        <w:t xml:space="preserve"> СПИК, является Государственная информационная система промышленности.</w:t>
      </w:r>
    </w:p>
    <w:p w14:paraId="7B03D14C" w14:textId="77777777" w:rsidR="003320EA" w:rsidRPr="003320EA" w:rsidRDefault="003320EA" w:rsidP="003320EA">
      <w:pPr>
        <w:pStyle w:val="ConsPlusNormal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10. Оценка результативности налогового расхода включает:</w:t>
      </w:r>
    </w:p>
    <w:p w14:paraId="5C815741" w14:textId="3D00E85D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3" w:name="P96"/>
      <w:bookmarkEnd w:id="3"/>
      <w:r w:rsidRPr="003320EA">
        <w:rPr>
          <w:color w:val="000000" w:themeColor="text1"/>
          <w:sz w:val="28"/>
          <w:szCs w:val="28"/>
        </w:rPr>
        <w:t xml:space="preserve">а) оценку вклада льготы в изменение значения показателя (индикатора) достижения целей государственных программ Российской Федерации и (или) целей социально-экономической политики Российской Федерации, не относящихся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к государственным программам Российской Федерации;</w:t>
      </w:r>
    </w:p>
    <w:p w14:paraId="68FD422F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б) оценку бюджетной эффективности налогового расхода;</w:t>
      </w:r>
    </w:p>
    <w:p w14:paraId="56E102A7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в) оценку совокупного бюджетного эффекта (самоокупаемости) налогового расхода в соответствии с пунктами 20-21 Правил.</w:t>
      </w:r>
    </w:p>
    <w:p w14:paraId="112FAAFF" w14:textId="7F7E12F1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11. Для целей оценки вклада льготы в изменение значения показателя (индикатора) достижения целей государственных программ Российской Федерации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и (или) целей социально-экономической политики Российской Федерации,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не относящихся к государственным программам Российской Федерации, указанной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в подпункте «а» пункта 10 настоящей Методики, в качестве показателя, на значение которого оказывает влияние налоговый расход, используется показатель «индекс производства аммиака по отношению к году, предшествовавшему первому году применения акциза, исчисленного при получении природного газа для производства </w:t>
      </w:r>
      <w:r w:rsidRPr="003320EA">
        <w:rPr>
          <w:color w:val="000000" w:themeColor="text1"/>
          <w:sz w:val="28"/>
          <w:szCs w:val="28"/>
        </w:rPr>
        <w:lastRenderedPageBreak/>
        <w:t>аммиака (2024)», коррелирующий с показателем Государственной программы «объем отгруженных товаров собственного производства, выполненных работ и услуг собственными силами (химический комплекс)».</w:t>
      </w:r>
    </w:p>
    <w:p w14:paraId="0EC7D6E5" w14:textId="500742B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Оценка вклада льготы в изменение значения показателя (индикатора) достижения целей государственных программ Российской Федерации и (или) целей социально-экономической политики Российской Федерации, не относящихся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к государственным программам Российской Федерации, указанная в подпункте «а» пункта 10 настоящей Методики, в значении показателя «индекс производства аммиака по отношению к году, предшествовавшему первому году применения акциза, исчисленного при получении природного газа для производства аммиака» (</w:t>
      </w:r>
      <w:proofErr w:type="spellStart"/>
      <w:r w:rsidRPr="003320EA">
        <w:rPr>
          <w:i/>
          <w:color w:val="000000" w:themeColor="text1"/>
          <w:sz w:val="28"/>
          <w:szCs w:val="28"/>
          <w:lang w:val="en-US"/>
        </w:rPr>
        <w:t>I</w:t>
      </w:r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>am</w:t>
      </w:r>
      <w:proofErr w:type="spellEnd"/>
      <w:r w:rsidRPr="003320EA">
        <w:rPr>
          <w:color w:val="000000" w:themeColor="text1"/>
          <w:sz w:val="28"/>
          <w:szCs w:val="28"/>
        </w:rPr>
        <w:t>) определяется по следующей формуле:</w:t>
      </w:r>
    </w:p>
    <w:p w14:paraId="238BBCD3" w14:textId="77777777" w:rsidR="003320EA" w:rsidRPr="003320EA" w:rsidRDefault="003320EA" w:rsidP="003320EA">
      <w:pPr>
        <w:pStyle w:val="ConsPlusNormal"/>
        <w:spacing w:line="360" w:lineRule="auto"/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3320EA">
        <w:rPr>
          <w:i/>
          <w:color w:val="000000" w:themeColor="text1"/>
          <w:sz w:val="28"/>
          <w:szCs w:val="28"/>
          <w:lang w:val="en-US"/>
        </w:rPr>
        <w:t>I</w:t>
      </w:r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>am</w:t>
      </w:r>
      <w:proofErr w:type="spellEnd"/>
      <w:r w:rsidRPr="003320EA">
        <w:rPr>
          <w:i/>
          <w:color w:val="000000" w:themeColor="text1"/>
          <w:sz w:val="28"/>
          <w:szCs w:val="28"/>
          <w:lang w:val="en-US"/>
        </w:rPr>
        <w:t xml:space="preserve"> = </w:t>
      </w:r>
      <w:r w:rsidRPr="003320EA">
        <w:rPr>
          <w:i/>
          <w:sz w:val="28"/>
          <w:szCs w:val="28"/>
          <w:lang w:val="en-US"/>
        </w:rPr>
        <w:t>(S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i/>
          <w:sz w:val="28"/>
          <w:szCs w:val="28"/>
          <w:lang w:val="en-US"/>
        </w:rPr>
        <w:t xml:space="preserve"> ÷ </w:t>
      </w:r>
      <w:proofErr w:type="spellStart"/>
      <w:r w:rsidRPr="003320EA">
        <w:rPr>
          <w:i/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am_b</w:t>
      </w:r>
      <w:proofErr w:type="spellEnd"/>
      <w:r w:rsidRPr="003320EA">
        <w:rPr>
          <w:i/>
          <w:sz w:val="28"/>
          <w:szCs w:val="28"/>
          <w:lang w:val="en-US"/>
        </w:rPr>
        <w:t>)/k*100%,</w:t>
      </w:r>
    </w:p>
    <w:p w14:paraId="42D7B5E1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где:</w:t>
      </w:r>
    </w:p>
    <w:p w14:paraId="686960A9" w14:textId="7FF2DF9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sz w:val="28"/>
          <w:szCs w:val="28"/>
        </w:rPr>
        <w:t xml:space="preserve"> – суммарная производственная мощность производителей аммиака </w:t>
      </w:r>
      <w:r w:rsidR="0071787A">
        <w:rPr>
          <w:sz w:val="28"/>
          <w:szCs w:val="28"/>
        </w:rPr>
        <w:br/>
      </w:r>
      <w:r w:rsidRPr="003320EA">
        <w:rPr>
          <w:sz w:val="28"/>
          <w:szCs w:val="28"/>
        </w:rPr>
        <w:t>в отчетном году, тысяч тонн;</w:t>
      </w:r>
    </w:p>
    <w:p w14:paraId="2DAE3120" w14:textId="7D09448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i/>
          <w:sz w:val="28"/>
          <w:szCs w:val="28"/>
          <w:vertAlign w:val="subscript"/>
        </w:rPr>
        <w:t>_</w:t>
      </w:r>
      <w:r w:rsidRPr="003320EA">
        <w:rPr>
          <w:i/>
          <w:sz w:val="28"/>
          <w:szCs w:val="28"/>
          <w:vertAlign w:val="subscript"/>
          <w:lang w:val="en-US"/>
        </w:rPr>
        <w:t>b</w:t>
      </w:r>
      <w:r w:rsidRPr="003320EA">
        <w:rPr>
          <w:sz w:val="28"/>
          <w:szCs w:val="28"/>
        </w:rPr>
        <w:t xml:space="preserve"> – суммарная производственная мощность производителей аммиака </w:t>
      </w:r>
      <w:r w:rsidR="0071787A">
        <w:rPr>
          <w:sz w:val="28"/>
          <w:szCs w:val="28"/>
        </w:rPr>
        <w:br/>
      </w:r>
      <w:r w:rsidRPr="003320EA">
        <w:rPr>
          <w:sz w:val="28"/>
          <w:szCs w:val="28"/>
        </w:rPr>
        <w:t>за 2024 год, тысяч тонн;</w:t>
      </w:r>
    </w:p>
    <w:p w14:paraId="0E9F6A86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i/>
          <w:sz w:val="28"/>
          <w:szCs w:val="28"/>
          <w:lang w:val="en-US"/>
        </w:rPr>
        <w:t>k</w:t>
      </w:r>
      <w:r w:rsidRPr="003320EA">
        <w:rPr>
          <w:sz w:val="28"/>
          <w:szCs w:val="28"/>
        </w:rPr>
        <w:t xml:space="preserve"> – </w:t>
      </w:r>
      <w:proofErr w:type="gramStart"/>
      <w:r w:rsidRPr="003320EA">
        <w:rPr>
          <w:sz w:val="28"/>
          <w:szCs w:val="28"/>
        </w:rPr>
        <w:t>коэффициент</w:t>
      </w:r>
      <w:proofErr w:type="gramEnd"/>
      <w:r w:rsidRPr="003320EA">
        <w:rPr>
          <w:sz w:val="28"/>
          <w:szCs w:val="28"/>
        </w:rPr>
        <w:t>, учитывающий средний темп роста производственных мощностей производителей аммиака за 3 года до введения льготы, равный 1,0057.</w:t>
      </w:r>
    </w:p>
    <w:p w14:paraId="14C65E9D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Источником сведений являются данные аналитического агентства </w:t>
      </w:r>
      <w:r w:rsidRPr="003320EA">
        <w:rPr>
          <w:color w:val="000000" w:themeColor="text1"/>
          <w:sz w:val="28"/>
          <w:szCs w:val="28"/>
          <w:lang w:val="en-US"/>
        </w:rPr>
        <w:t>Argus</w:t>
      </w:r>
      <w:r w:rsidRPr="003320EA">
        <w:rPr>
          <w:color w:val="000000" w:themeColor="text1"/>
          <w:sz w:val="28"/>
          <w:szCs w:val="28"/>
        </w:rPr>
        <w:t>.</w:t>
      </w:r>
    </w:p>
    <w:p w14:paraId="19286EE6" w14:textId="5132019D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12. В целях проведения оценки бюджетной эффективности налогового расхода осуществляется сравнительный анализ результативности предоставления льгот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и результативности применения альтернативных механизмов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Федерации.</w:t>
      </w:r>
    </w:p>
    <w:p w14:paraId="3F333A6E" w14:textId="36C4DC73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Сравнительный анализ результативности предоставления льгот осуществляется путем сравнения объемов расходов федерального бюджета в случае применения альтернативных механизмов достижения целей государственных программ Российской Федерации и (или) целей социально-экономической политики </w:t>
      </w:r>
      <w:r w:rsidRPr="003320EA">
        <w:rPr>
          <w:color w:val="000000" w:themeColor="text1"/>
          <w:sz w:val="28"/>
          <w:szCs w:val="28"/>
        </w:rPr>
        <w:lastRenderedPageBreak/>
        <w:t xml:space="preserve">Российской Федерации, не относящихся к государственным программам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Федерации, и объемов предоставленных льгот.</w:t>
      </w:r>
    </w:p>
    <w:p w14:paraId="2B5575BD" w14:textId="6D7873D8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В качестве альтернативных механизмов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Федерации, учитываются субсидии, предоставляемые в отношении производителей продукции, относящейся к химической отрасли промышленности.</w:t>
      </w:r>
    </w:p>
    <w:p w14:paraId="7BA1557E" w14:textId="33BDB7F8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Вывод о бюджетной эффективности налогового расхода определяется на основе расчета бюджетной эффективности налогового расхода (B) по следующей формуле:</w:t>
      </w:r>
    </w:p>
    <w:p w14:paraId="7759B051" w14:textId="77777777" w:rsidR="003320EA" w:rsidRPr="003320EA" w:rsidRDefault="003320EA" w:rsidP="003320EA">
      <w:pPr>
        <w:pStyle w:val="ConsPlusNormal"/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3320EA">
        <w:rPr>
          <w:i/>
          <w:color w:val="000000" w:themeColor="text1"/>
          <w:sz w:val="28"/>
          <w:szCs w:val="28"/>
          <w:lang w:val="en-US"/>
        </w:rPr>
        <w:t>B</w:t>
      </w:r>
      <w:r w:rsidRPr="003320EA">
        <w:rPr>
          <w:i/>
          <w:color w:val="000000" w:themeColor="text1"/>
          <w:sz w:val="28"/>
          <w:szCs w:val="28"/>
        </w:rPr>
        <w:t xml:space="preserve"> = </w:t>
      </w:r>
      <w:proofErr w:type="spellStart"/>
      <w:proofErr w:type="gramStart"/>
      <w:r w:rsidRPr="003320EA">
        <w:rPr>
          <w:i/>
          <w:color w:val="000000" w:themeColor="text1"/>
          <w:sz w:val="28"/>
          <w:szCs w:val="28"/>
          <w:lang w:val="en-US"/>
        </w:rPr>
        <w:t>V</w:t>
      </w:r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>a</w:t>
      </w:r>
      <w:proofErr w:type="spellEnd"/>
      <w:proofErr w:type="gramEnd"/>
      <w:r w:rsidRPr="003320EA">
        <w:rPr>
          <w:i/>
          <w:color w:val="000000" w:themeColor="text1"/>
          <w:sz w:val="28"/>
          <w:szCs w:val="28"/>
        </w:rPr>
        <w:t xml:space="preserve"> – </w:t>
      </w:r>
      <w:r w:rsidRPr="003320EA">
        <w:rPr>
          <w:i/>
          <w:color w:val="000000" w:themeColor="text1"/>
          <w:sz w:val="28"/>
          <w:szCs w:val="28"/>
          <w:lang w:val="en-US"/>
        </w:rPr>
        <w:t>V</w:t>
      </w:r>
      <w:proofErr w:type="spellStart"/>
      <w:r w:rsidRPr="003320EA">
        <w:rPr>
          <w:i/>
          <w:color w:val="000000" w:themeColor="text1"/>
          <w:sz w:val="28"/>
          <w:szCs w:val="28"/>
          <w:vertAlign w:val="subscript"/>
        </w:rPr>
        <w:t>нл</w:t>
      </w:r>
      <w:proofErr w:type="spellEnd"/>
      <w:r w:rsidRPr="003320EA">
        <w:rPr>
          <w:i/>
          <w:color w:val="000000" w:themeColor="text1"/>
          <w:sz w:val="28"/>
          <w:szCs w:val="28"/>
        </w:rPr>
        <w:t>,</w:t>
      </w:r>
    </w:p>
    <w:p w14:paraId="684FF634" w14:textId="1C3A3DA4" w:rsidR="003320EA" w:rsidRPr="003320EA" w:rsidRDefault="003320EA" w:rsidP="003320EA">
      <w:pPr>
        <w:pStyle w:val="ConsPlusNorma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где:</w:t>
      </w:r>
    </w:p>
    <w:p w14:paraId="7CBCA236" w14:textId="4F373A8C" w:rsidR="003320EA" w:rsidRPr="003320EA" w:rsidRDefault="003320EA" w:rsidP="003320EA">
      <w:pPr>
        <w:pStyle w:val="ConsPlusNorma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В – бюджетная эффективность налогового расхода, тыс. рублей;</w:t>
      </w:r>
    </w:p>
    <w:p w14:paraId="2622A962" w14:textId="667D7D3D" w:rsidR="003320EA" w:rsidRPr="003320EA" w:rsidRDefault="003320EA" w:rsidP="003320EA">
      <w:pPr>
        <w:pStyle w:val="ConsPlusNorma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3320EA">
        <w:rPr>
          <w:color w:val="000000" w:themeColor="text1"/>
          <w:sz w:val="28"/>
          <w:szCs w:val="28"/>
          <w:lang w:val="en-US"/>
        </w:rPr>
        <w:t>V</w:t>
      </w:r>
      <w:r w:rsidRPr="003320EA">
        <w:rPr>
          <w:color w:val="000000" w:themeColor="text1"/>
          <w:sz w:val="28"/>
          <w:szCs w:val="28"/>
          <w:vertAlign w:val="subscript"/>
          <w:lang w:val="en-US"/>
        </w:rPr>
        <w:t>a</w:t>
      </w:r>
      <w:proofErr w:type="spellEnd"/>
      <w:proofErr w:type="gramEnd"/>
      <w:r w:rsidRPr="003320EA">
        <w:rPr>
          <w:color w:val="000000" w:themeColor="text1"/>
          <w:sz w:val="28"/>
          <w:szCs w:val="28"/>
          <w:vertAlign w:val="subscript"/>
        </w:rPr>
        <w:t xml:space="preserve"> </w:t>
      </w:r>
      <w:r w:rsidRPr="003320EA">
        <w:rPr>
          <w:color w:val="000000" w:themeColor="text1"/>
          <w:sz w:val="28"/>
          <w:szCs w:val="28"/>
        </w:rPr>
        <w:t>– объем расходов федерального бюджета Российской Федерации в случае применения альтернативного механизма, тыс. руб.;</w:t>
      </w:r>
    </w:p>
    <w:p w14:paraId="27C6C9DD" w14:textId="771BAF26" w:rsidR="003320EA" w:rsidRPr="003320EA" w:rsidRDefault="003320EA" w:rsidP="003320EA">
      <w:pPr>
        <w:pStyle w:val="ConsPlusNormal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  <w:lang w:val="en-US"/>
        </w:rPr>
        <w:t>V</w:t>
      </w:r>
      <w:proofErr w:type="spellStart"/>
      <w:r>
        <w:rPr>
          <w:color w:val="000000" w:themeColor="text1"/>
          <w:sz w:val="28"/>
          <w:szCs w:val="28"/>
          <w:vertAlign w:val="subscript"/>
        </w:rPr>
        <w:t>нл</w:t>
      </w:r>
      <w:proofErr w:type="spellEnd"/>
      <w:r>
        <w:rPr>
          <w:color w:val="000000" w:themeColor="text1"/>
          <w:sz w:val="28"/>
          <w:szCs w:val="28"/>
          <w:vertAlign w:val="subscript"/>
        </w:rPr>
        <w:t xml:space="preserve"> </w:t>
      </w:r>
      <w:r w:rsidRPr="003320EA">
        <w:rPr>
          <w:color w:val="000000" w:themeColor="text1"/>
          <w:sz w:val="28"/>
          <w:szCs w:val="28"/>
        </w:rPr>
        <w:t>– объем налогового расхода в отчетном году, тыс. руб.</w:t>
      </w:r>
    </w:p>
    <w:p w14:paraId="4166CDCC" w14:textId="07C5E8D8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Значение показателя </w:t>
      </w:r>
      <w:proofErr w:type="spellStart"/>
      <w:r w:rsidRPr="003320EA">
        <w:rPr>
          <w:color w:val="000000" w:themeColor="text1"/>
          <w:sz w:val="28"/>
          <w:szCs w:val="28"/>
        </w:rPr>
        <w:t>Va</w:t>
      </w:r>
      <w:proofErr w:type="spellEnd"/>
      <w:r w:rsidRPr="003320EA">
        <w:rPr>
          <w:color w:val="000000" w:themeColor="text1"/>
          <w:sz w:val="28"/>
          <w:szCs w:val="28"/>
        </w:rPr>
        <w:t xml:space="preserve"> определяется по формуле:</w:t>
      </w:r>
    </w:p>
    <w:p w14:paraId="1F2B0178" w14:textId="505CA881" w:rsidR="003320EA" w:rsidRPr="003320EA" w:rsidRDefault="003320EA" w:rsidP="003320EA">
      <w:pPr>
        <w:pStyle w:val="ConsPlusNormal"/>
        <w:spacing w:line="360" w:lineRule="auto"/>
        <w:jc w:val="center"/>
        <w:rPr>
          <w:i/>
          <w:color w:val="000000" w:themeColor="text1"/>
          <w:sz w:val="28"/>
          <w:szCs w:val="28"/>
          <w:vertAlign w:val="subscript"/>
          <w:lang w:val="en-US"/>
        </w:rPr>
      </w:pPr>
      <w:proofErr w:type="spellStart"/>
      <w:proofErr w:type="gramStart"/>
      <w:r w:rsidRPr="003320EA">
        <w:rPr>
          <w:i/>
          <w:color w:val="000000" w:themeColor="text1"/>
          <w:sz w:val="28"/>
          <w:szCs w:val="28"/>
          <w:lang w:val="en-US"/>
        </w:rPr>
        <w:t>V</w:t>
      </w:r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>a</w:t>
      </w:r>
      <w:proofErr w:type="spellEnd"/>
      <w:proofErr w:type="gramEnd"/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 xml:space="preserve"> = </w:t>
      </w:r>
      <w:r w:rsidRPr="003320EA">
        <w:rPr>
          <w:i/>
          <w:color w:val="000000" w:themeColor="text1"/>
          <w:sz w:val="28"/>
          <w:szCs w:val="28"/>
          <w:lang w:val="en-US"/>
        </w:rPr>
        <w:t>P</w:t>
      </w:r>
      <w:r w:rsidRPr="003320EA">
        <w:rPr>
          <w:color w:val="000000" w:themeColor="text1"/>
          <w:sz w:val="28"/>
          <w:szCs w:val="28"/>
          <w:lang w:val="en-US"/>
        </w:rPr>
        <w:t xml:space="preserve"> </w:t>
      </w:r>
      <w:r w:rsidRPr="003320EA">
        <w:rPr>
          <w:i/>
          <w:color w:val="000000" w:themeColor="text1"/>
          <w:sz w:val="28"/>
          <w:szCs w:val="28"/>
          <w:lang w:val="en-US"/>
        </w:rPr>
        <w:t>*</w:t>
      </w:r>
      <w:r w:rsidRPr="003320EA">
        <w:rPr>
          <w:i/>
          <w:sz w:val="28"/>
          <w:szCs w:val="28"/>
          <w:lang w:val="en-US"/>
        </w:rPr>
        <w:t>(S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i/>
          <w:sz w:val="28"/>
          <w:szCs w:val="28"/>
          <w:lang w:val="en-US"/>
        </w:rPr>
        <w:t xml:space="preserve"> – </w:t>
      </w:r>
      <w:proofErr w:type="spellStart"/>
      <w:r w:rsidRPr="003320EA">
        <w:rPr>
          <w:i/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am_b</w:t>
      </w:r>
      <w:proofErr w:type="spellEnd"/>
      <w:r w:rsidRPr="003320EA">
        <w:rPr>
          <w:i/>
          <w:sz w:val="28"/>
          <w:szCs w:val="28"/>
          <w:lang w:val="en-US"/>
        </w:rPr>
        <w:t>)/k</w:t>
      </w:r>
      <w:r w:rsidRPr="003320EA">
        <w:rPr>
          <w:i/>
          <w:color w:val="000000" w:themeColor="text1"/>
          <w:sz w:val="28"/>
          <w:szCs w:val="28"/>
          <w:lang w:val="en-US"/>
        </w:rPr>
        <w:t>,</w:t>
      </w:r>
      <w:r w:rsidRPr="003320EA">
        <w:rPr>
          <w:i/>
          <w:color w:val="000000" w:themeColor="text1"/>
          <w:sz w:val="28"/>
          <w:szCs w:val="28"/>
          <w:vertAlign w:val="subscript"/>
          <w:lang w:val="en-US"/>
        </w:rPr>
        <w:t xml:space="preserve"> </w:t>
      </w:r>
    </w:p>
    <w:p w14:paraId="4FE40A6C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где:</w:t>
      </w:r>
    </w:p>
    <w:p w14:paraId="7A70A30E" w14:textId="272BD40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sz w:val="28"/>
          <w:szCs w:val="28"/>
        </w:rPr>
        <w:t xml:space="preserve"> – суммарная производственная мощность производителей аммиака </w:t>
      </w:r>
      <w:r w:rsidR="0071787A">
        <w:rPr>
          <w:sz w:val="28"/>
          <w:szCs w:val="28"/>
        </w:rPr>
        <w:br/>
      </w:r>
      <w:r w:rsidRPr="003320EA">
        <w:rPr>
          <w:sz w:val="28"/>
          <w:szCs w:val="28"/>
        </w:rPr>
        <w:t>в отчетном году, тысяч тонн;</w:t>
      </w:r>
    </w:p>
    <w:p w14:paraId="4E2C3769" w14:textId="7057DBF8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sz w:val="28"/>
          <w:szCs w:val="28"/>
          <w:lang w:val="en-US"/>
        </w:rPr>
        <w:t>S</w:t>
      </w:r>
      <w:r w:rsidRPr="003320EA">
        <w:rPr>
          <w:i/>
          <w:sz w:val="28"/>
          <w:szCs w:val="28"/>
          <w:vertAlign w:val="subscript"/>
          <w:lang w:val="en-US"/>
        </w:rPr>
        <w:t>am</w:t>
      </w:r>
      <w:r w:rsidRPr="003320EA">
        <w:rPr>
          <w:i/>
          <w:sz w:val="28"/>
          <w:szCs w:val="28"/>
          <w:vertAlign w:val="subscript"/>
        </w:rPr>
        <w:t>_</w:t>
      </w:r>
      <w:r w:rsidRPr="003320EA">
        <w:rPr>
          <w:i/>
          <w:sz w:val="28"/>
          <w:szCs w:val="28"/>
          <w:vertAlign w:val="subscript"/>
          <w:lang w:val="en-US"/>
        </w:rPr>
        <w:t>b</w:t>
      </w:r>
      <w:r w:rsidRPr="003320EA">
        <w:rPr>
          <w:sz w:val="28"/>
          <w:szCs w:val="28"/>
        </w:rPr>
        <w:t xml:space="preserve"> – суммарная производственная мощность производителей аммиака </w:t>
      </w:r>
      <w:r w:rsidR="0071787A">
        <w:rPr>
          <w:sz w:val="28"/>
          <w:szCs w:val="28"/>
        </w:rPr>
        <w:br/>
      </w:r>
      <w:r w:rsidRPr="003320EA">
        <w:rPr>
          <w:sz w:val="28"/>
          <w:szCs w:val="28"/>
        </w:rPr>
        <w:t>в 2024 году, тысяч тонн.</w:t>
      </w:r>
    </w:p>
    <w:p w14:paraId="43CDC525" w14:textId="5DE4D69A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320EA">
        <w:rPr>
          <w:i/>
          <w:sz w:val="28"/>
          <w:szCs w:val="28"/>
          <w:lang w:val="en-US"/>
        </w:rPr>
        <w:t>k</w:t>
      </w:r>
      <w:r w:rsidRPr="003320EA">
        <w:rPr>
          <w:sz w:val="28"/>
          <w:szCs w:val="28"/>
        </w:rPr>
        <w:t xml:space="preserve"> – </w:t>
      </w:r>
      <w:proofErr w:type="gramStart"/>
      <w:r w:rsidRPr="003320EA">
        <w:rPr>
          <w:sz w:val="28"/>
          <w:szCs w:val="28"/>
        </w:rPr>
        <w:t>коэффициент</w:t>
      </w:r>
      <w:proofErr w:type="gramEnd"/>
      <w:r w:rsidRPr="003320EA">
        <w:rPr>
          <w:sz w:val="28"/>
          <w:szCs w:val="28"/>
        </w:rPr>
        <w:t>, учитывающий средний темп роста производственных мощностей производителей аммиака за 3 года до введения льготы, равный 1,0057.</w:t>
      </w:r>
    </w:p>
    <w:p w14:paraId="4FC4A2CF" w14:textId="47F41FE3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  <w:lang w:val="en-US"/>
        </w:rPr>
        <w:t>P</w:t>
      </w:r>
      <w:r w:rsidRPr="003320EA">
        <w:rPr>
          <w:color w:val="000000" w:themeColor="text1"/>
          <w:sz w:val="28"/>
          <w:szCs w:val="28"/>
        </w:rPr>
        <w:t xml:space="preserve"> – </w:t>
      </w:r>
      <w:proofErr w:type="gramStart"/>
      <w:r w:rsidRPr="003320EA">
        <w:rPr>
          <w:color w:val="000000" w:themeColor="text1"/>
          <w:sz w:val="28"/>
          <w:szCs w:val="28"/>
        </w:rPr>
        <w:t>среднегодовая</w:t>
      </w:r>
      <w:proofErr w:type="gramEnd"/>
      <w:r w:rsidRPr="003320EA">
        <w:rPr>
          <w:color w:val="000000" w:themeColor="text1"/>
          <w:sz w:val="28"/>
          <w:szCs w:val="28"/>
        </w:rPr>
        <w:t xml:space="preserve"> цена на тонну аммиака на базисе </w:t>
      </w:r>
      <w:r w:rsidRPr="003320EA">
        <w:rPr>
          <w:color w:val="000000" w:themeColor="text1"/>
          <w:sz w:val="28"/>
          <w:szCs w:val="28"/>
          <w:lang w:val="en-US"/>
        </w:rPr>
        <w:t>Free</w:t>
      </w:r>
      <w:r w:rsidRPr="003320EA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  <w:lang w:val="en-US"/>
        </w:rPr>
        <w:t>on</w:t>
      </w:r>
      <w:r w:rsidRPr="003320EA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  <w:lang w:val="en-US"/>
        </w:rPr>
        <w:t>Board</w:t>
      </w:r>
      <w:r w:rsidRPr="003320EA">
        <w:rPr>
          <w:color w:val="000000" w:themeColor="text1"/>
          <w:sz w:val="28"/>
          <w:szCs w:val="28"/>
        </w:rPr>
        <w:t xml:space="preserve"> (</w:t>
      </w:r>
      <w:r w:rsidRPr="003320EA">
        <w:rPr>
          <w:color w:val="000000" w:themeColor="text1"/>
          <w:sz w:val="28"/>
          <w:szCs w:val="28"/>
          <w:lang w:val="en-US"/>
        </w:rPr>
        <w:t>FOB</w:t>
      </w:r>
      <w:r w:rsidRPr="003320EA">
        <w:rPr>
          <w:color w:val="000000" w:themeColor="text1"/>
          <w:sz w:val="28"/>
          <w:szCs w:val="28"/>
        </w:rPr>
        <w:t xml:space="preserve">) </w:t>
      </w:r>
      <w:r w:rsidRPr="003320EA">
        <w:rPr>
          <w:color w:val="000000" w:themeColor="text1"/>
          <w:sz w:val="28"/>
          <w:szCs w:val="28"/>
          <w:lang w:val="en-US"/>
        </w:rPr>
        <w:t>Baltic</w:t>
      </w:r>
      <w:r w:rsidRPr="003320EA">
        <w:rPr>
          <w:color w:val="000000" w:themeColor="text1"/>
          <w:sz w:val="28"/>
          <w:szCs w:val="28"/>
        </w:rPr>
        <w:t>, которая рассчитывается по формуле:</w:t>
      </w:r>
    </w:p>
    <w:p w14:paraId="45A6B3F1" w14:textId="77777777" w:rsidR="003320EA" w:rsidRPr="003320EA" w:rsidRDefault="003320EA" w:rsidP="003320EA">
      <w:pPr>
        <w:pStyle w:val="ConsPlusNormal"/>
        <w:spacing w:line="360" w:lineRule="auto"/>
        <w:ind w:firstLine="540"/>
        <w:jc w:val="center"/>
        <w:rPr>
          <w:i/>
          <w:iCs/>
          <w:color w:val="000000" w:themeColor="text1"/>
          <w:sz w:val="28"/>
          <w:szCs w:val="28"/>
        </w:rPr>
      </w:pPr>
      <w:r w:rsidRPr="003320EA">
        <w:rPr>
          <w:i/>
          <w:color w:val="000000" w:themeColor="text1"/>
          <w:sz w:val="28"/>
          <w:szCs w:val="28"/>
          <w:lang w:val="en-US"/>
        </w:rPr>
        <w:t>P</w:t>
      </w:r>
      <w:r w:rsidRPr="003320EA">
        <w:rPr>
          <w:color w:val="000000" w:themeColor="text1"/>
          <w:sz w:val="28"/>
          <w:szCs w:val="28"/>
        </w:rPr>
        <w:t xml:space="preserve"> = </w:t>
      </w:r>
      <w:proofErr w:type="spellStart"/>
      <w:r w:rsidRPr="003320EA">
        <w:rPr>
          <w:i/>
          <w:iCs/>
          <w:color w:val="000000" w:themeColor="text1"/>
          <w:sz w:val="28"/>
          <w:szCs w:val="28"/>
          <w:lang w:val="en-US"/>
        </w:rPr>
        <w:t>P</w:t>
      </w:r>
      <w:r w:rsidRPr="003320EA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urea</w:t>
      </w:r>
      <w:proofErr w:type="spellEnd"/>
      <w:r w:rsidRPr="003320EA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3320EA">
        <w:rPr>
          <w:i/>
          <w:iCs/>
          <w:color w:val="000000" w:themeColor="text1"/>
          <w:sz w:val="28"/>
          <w:szCs w:val="28"/>
        </w:rPr>
        <w:t>/</w:t>
      </w:r>
      <w:r w:rsidRPr="003320EA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3320EA">
        <w:rPr>
          <w:i/>
          <w:iCs/>
          <w:color w:val="000000" w:themeColor="text1"/>
          <w:sz w:val="28"/>
          <w:szCs w:val="28"/>
        </w:rPr>
        <w:t>0.562,</w:t>
      </w:r>
    </w:p>
    <w:p w14:paraId="121A172A" w14:textId="56B70526" w:rsidR="003320EA" w:rsidRPr="003320EA" w:rsidRDefault="003320EA" w:rsidP="003320EA">
      <w:pPr>
        <w:pStyle w:val="ConsPlusNormal"/>
        <w:spacing w:line="360" w:lineRule="auto"/>
        <w:ind w:firstLine="540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где:</w:t>
      </w:r>
    </w:p>
    <w:p w14:paraId="0DF75B03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3320EA">
        <w:rPr>
          <w:color w:val="000000" w:themeColor="text1"/>
          <w:sz w:val="28"/>
          <w:szCs w:val="28"/>
          <w:lang w:val="en-US"/>
        </w:rPr>
        <w:t>P</w:t>
      </w:r>
      <w:r w:rsidRPr="003320EA">
        <w:rPr>
          <w:color w:val="000000" w:themeColor="text1"/>
          <w:sz w:val="28"/>
          <w:szCs w:val="28"/>
          <w:vertAlign w:val="subscript"/>
          <w:lang w:val="en-US"/>
        </w:rPr>
        <w:t>urea</w:t>
      </w:r>
      <w:proofErr w:type="spellEnd"/>
      <w:r w:rsidRPr="003320EA">
        <w:rPr>
          <w:color w:val="000000" w:themeColor="text1"/>
          <w:sz w:val="28"/>
          <w:szCs w:val="28"/>
        </w:rPr>
        <w:t xml:space="preserve"> – среднегодовая цена на тонну </w:t>
      </w:r>
      <w:proofErr w:type="spellStart"/>
      <w:r w:rsidRPr="003320EA">
        <w:rPr>
          <w:color w:val="000000" w:themeColor="text1"/>
          <w:sz w:val="28"/>
          <w:szCs w:val="28"/>
        </w:rPr>
        <w:t>приллированного</w:t>
      </w:r>
      <w:proofErr w:type="spellEnd"/>
      <w:r w:rsidRPr="003320EA">
        <w:rPr>
          <w:color w:val="000000" w:themeColor="text1"/>
          <w:sz w:val="28"/>
          <w:szCs w:val="28"/>
        </w:rPr>
        <w:t xml:space="preserve"> карбамида на базисе </w:t>
      </w:r>
      <w:r w:rsidRPr="003320EA">
        <w:rPr>
          <w:color w:val="000000" w:themeColor="text1"/>
          <w:sz w:val="28"/>
          <w:szCs w:val="28"/>
          <w:lang w:val="en-US"/>
        </w:rPr>
        <w:t>Free</w:t>
      </w:r>
      <w:r w:rsidRPr="003320EA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  <w:lang w:val="en-US"/>
        </w:rPr>
        <w:t>on</w:t>
      </w:r>
      <w:r w:rsidRPr="003320EA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  <w:lang w:val="en-US"/>
        </w:rPr>
        <w:t>Board</w:t>
      </w:r>
      <w:r w:rsidRPr="003320EA">
        <w:rPr>
          <w:color w:val="000000" w:themeColor="text1"/>
          <w:sz w:val="28"/>
          <w:szCs w:val="28"/>
        </w:rPr>
        <w:t xml:space="preserve"> (</w:t>
      </w:r>
      <w:r w:rsidRPr="003320EA">
        <w:rPr>
          <w:color w:val="000000" w:themeColor="text1"/>
          <w:sz w:val="28"/>
          <w:szCs w:val="28"/>
          <w:lang w:val="en-US"/>
        </w:rPr>
        <w:t>FOB</w:t>
      </w:r>
      <w:r w:rsidRPr="003320EA">
        <w:rPr>
          <w:color w:val="000000" w:themeColor="text1"/>
          <w:sz w:val="28"/>
          <w:szCs w:val="28"/>
        </w:rPr>
        <w:t xml:space="preserve">) </w:t>
      </w:r>
      <w:r w:rsidRPr="003320EA">
        <w:rPr>
          <w:color w:val="000000" w:themeColor="text1"/>
          <w:sz w:val="28"/>
          <w:szCs w:val="28"/>
          <w:lang w:val="en-US"/>
        </w:rPr>
        <w:t>Baltic</w:t>
      </w:r>
      <w:r w:rsidRPr="003320EA">
        <w:rPr>
          <w:color w:val="000000" w:themeColor="text1"/>
          <w:sz w:val="28"/>
          <w:szCs w:val="28"/>
        </w:rPr>
        <w:t xml:space="preserve"> по данным аналитического агентства </w:t>
      </w:r>
      <w:r w:rsidRPr="003320EA">
        <w:rPr>
          <w:color w:val="000000" w:themeColor="text1"/>
          <w:sz w:val="28"/>
          <w:szCs w:val="28"/>
          <w:lang w:val="en-US"/>
        </w:rPr>
        <w:t>Argus</w:t>
      </w:r>
      <w:r w:rsidRPr="003320EA">
        <w:rPr>
          <w:color w:val="000000" w:themeColor="text1"/>
          <w:sz w:val="28"/>
          <w:szCs w:val="28"/>
        </w:rPr>
        <w:t>;</w:t>
      </w:r>
    </w:p>
    <w:p w14:paraId="656B30C5" w14:textId="16C4B19F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lastRenderedPageBreak/>
        <w:t xml:space="preserve">0,562 – удельный коэффициент, отражающий содержание аммиака в одной тонне </w:t>
      </w:r>
      <w:proofErr w:type="spellStart"/>
      <w:r w:rsidRPr="003320EA">
        <w:rPr>
          <w:color w:val="000000" w:themeColor="text1"/>
          <w:sz w:val="28"/>
          <w:szCs w:val="28"/>
        </w:rPr>
        <w:t>приллированного</w:t>
      </w:r>
      <w:proofErr w:type="spellEnd"/>
      <w:r w:rsidRPr="003320EA">
        <w:rPr>
          <w:color w:val="000000" w:themeColor="text1"/>
          <w:sz w:val="28"/>
          <w:szCs w:val="28"/>
        </w:rPr>
        <w:t xml:space="preserve"> карбамида.</w:t>
      </w:r>
    </w:p>
    <w:p w14:paraId="58222FB8" w14:textId="714093A5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Источником сведений являются данные аналитического агентства </w:t>
      </w:r>
      <w:r w:rsidRPr="003320EA">
        <w:rPr>
          <w:color w:val="000000" w:themeColor="text1"/>
          <w:sz w:val="28"/>
          <w:szCs w:val="28"/>
          <w:lang w:val="en-US"/>
        </w:rPr>
        <w:t>Argus</w:t>
      </w:r>
      <w:r w:rsidRPr="003320EA">
        <w:rPr>
          <w:color w:val="000000" w:themeColor="text1"/>
          <w:sz w:val="28"/>
          <w:szCs w:val="28"/>
        </w:rPr>
        <w:t>.</w:t>
      </w:r>
    </w:p>
    <w:p w14:paraId="79D28975" w14:textId="3A0B667A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Налоговый расход признается более результативным (менее затратным),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если показатель бюджетной эффективности налогового расхода (B) принимает з</w:t>
      </w:r>
      <w:r>
        <w:rPr>
          <w:color w:val="000000" w:themeColor="text1"/>
          <w:sz w:val="28"/>
          <w:szCs w:val="28"/>
        </w:rPr>
        <w:t>начение большее или равное нулю.</w:t>
      </w:r>
    </w:p>
    <w:p w14:paraId="1CF04E3C" w14:textId="6B424A6E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В случае </w:t>
      </w:r>
      <w:proofErr w:type="spellStart"/>
      <w:r w:rsidRPr="003320EA">
        <w:rPr>
          <w:color w:val="000000" w:themeColor="text1"/>
          <w:sz w:val="28"/>
          <w:szCs w:val="28"/>
        </w:rPr>
        <w:t>недостижения</w:t>
      </w:r>
      <w:proofErr w:type="spellEnd"/>
      <w:r w:rsidRPr="003320EA">
        <w:rPr>
          <w:color w:val="000000" w:themeColor="text1"/>
          <w:sz w:val="28"/>
          <w:szCs w:val="28"/>
        </w:rPr>
        <w:t xml:space="preserve"> положительных значений оценки вклада, предусмотренных для плательщиков льгот в изменение значения показателя (индикатора) достижения целей государственной программы Российской Федерации и (или) целей социально-экономической политики Российской Федерации,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не относящихся к государственным программам Российской Федерации,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и (или) достижения более высоких показателей результативности применения альтернативных механизмов достижения целей государственной программы Российской Федерации и (или) целей социально-экономической политики Российской Федерации, не относящихся к государственным программам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Российской Федерации, по результатам оценки бюджетной эффективности налогового расхода и (или) положительного значения совокупного бюджетного эффекта в соответствии с пунктом 14 Правил Министерство промышленности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и торговли Российской Федерации представляет в Министерство финансов Российской Федерации предложения о сохранении (уточнении, отмене) льготы, обусловливающей налоговый расход.</w:t>
      </w:r>
    </w:p>
    <w:p w14:paraId="49F609AC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13. Вывод по результатам оценки эффективности налогового расхода должен включать в себя:</w:t>
      </w:r>
    </w:p>
    <w:p w14:paraId="7EDDD5F6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а) вывод о достижении целевых характеристик (критериев целесообразности) налогового расхода;</w:t>
      </w:r>
    </w:p>
    <w:p w14:paraId="1F662D57" w14:textId="6DFF6DC1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б) вывод о вкладе налогового расхода в достижение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Федерации;</w:t>
      </w:r>
    </w:p>
    <w:p w14:paraId="2DE61688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в) вывод о наличии или об отсутствии более результативных (менее затратных </w:t>
      </w:r>
      <w:r w:rsidRPr="003320EA">
        <w:rPr>
          <w:color w:val="000000" w:themeColor="text1"/>
          <w:sz w:val="28"/>
          <w:szCs w:val="28"/>
        </w:rPr>
        <w:lastRenderedPageBreak/>
        <w:t>для федерального бюджета) альтернативных механизмов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Федерации;</w:t>
      </w:r>
    </w:p>
    <w:p w14:paraId="6EFB3486" w14:textId="7777777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г) вывод о значении совокупного бюджетного эффекта (самоокупаемости) налогового расхода.</w:t>
      </w:r>
    </w:p>
    <w:p w14:paraId="4004F34D" w14:textId="2AC2FB5D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По итогам оценки эффективности налогового расхода Министерство промышленности и торговли Российской Федерации формирует вывод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о необходимости сохранения (уточнения, отмены) льготы, обусловливающей налоговый расход.</w:t>
      </w:r>
    </w:p>
    <w:p w14:paraId="01410554" w14:textId="785E7C03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14. По результатам оценки эффективности налогового расхода Министерством промышленности и торговли Российской Федерации формируется отчет, содержащий сведения о результатах оценки эффективности налогового расхода,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а также рекомендации по результатам указанной оценки, включая рекомендации Министерству финансов Российской Федерации о необходимости сохранения (уточнения, отмены) предоставленных плательщикам льгот.</w:t>
      </w:r>
    </w:p>
    <w:p w14:paraId="7AD8511B" w14:textId="43C36C20" w:rsid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15. Указанные в абзаце 2 пункта 23 Правил сведения совместно с паспортом налогового расхода направляются Министерством промышленности и торговли Российской Федерации ежегодно в Министерство финансов Российской Федерации до 15 декабря (уточненные данные – до 1 марта), а также размещаются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на официальном сайте Министерства финансов Российской Федерации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 xml:space="preserve">в информационно-телекоммуникационной сети «Интернет» не позднее 5 рабочих дней со дня направления уточненных данных в Министерство финансов </w:t>
      </w:r>
      <w:r w:rsidR="0071787A">
        <w:rPr>
          <w:color w:val="000000" w:themeColor="text1"/>
          <w:sz w:val="28"/>
          <w:szCs w:val="28"/>
        </w:rPr>
        <w:br/>
      </w:r>
      <w:r w:rsidRPr="003320EA">
        <w:rPr>
          <w:color w:val="000000" w:themeColor="text1"/>
          <w:sz w:val="28"/>
          <w:szCs w:val="28"/>
        </w:rPr>
        <w:t>Российской Федерации.</w:t>
      </w:r>
    </w:p>
    <w:p w14:paraId="6CB40B69" w14:textId="563CF037" w:rsidR="003320EA" w:rsidRPr="003320EA" w:rsidRDefault="003320EA" w:rsidP="003320E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>Указанные в абзаце 3 пункта 23 Правил сведения</w:t>
      </w:r>
      <w:r w:rsidRPr="003320EA" w:rsidDel="007F0E2E">
        <w:rPr>
          <w:color w:val="000000" w:themeColor="text1"/>
          <w:sz w:val="28"/>
          <w:szCs w:val="28"/>
        </w:rPr>
        <w:t xml:space="preserve"> </w:t>
      </w:r>
      <w:r w:rsidRPr="003320EA">
        <w:rPr>
          <w:color w:val="000000" w:themeColor="text1"/>
          <w:sz w:val="28"/>
          <w:szCs w:val="28"/>
        </w:rPr>
        <w:t xml:space="preserve">совместно с паспортом налогового расхода направляются Министерством промышленности и торговли Российской Федерации ежегодно в Министерство экономического развития </w:t>
      </w:r>
      <w:r w:rsidRPr="003320EA">
        <w:rPr>
          <w:color w:val="000000" w:themeColor="text1"/>
          <w:sz w:val="28"/>
          <w:szCs w:val="28"/>
        </w:rPr>
        <w:lastRenderedPageBreak/>
        <w:t>Российской Федерации до 1 марта.</w:t>
      </w:r>
    </w:p>
    <w:p w14:paraId="5A8AACDE" w14:textId="691120BE" w:rsidR="009C7885" w:rsidRPr="0071787A" w:rsidRDefault="003320EA" w:rsidP="0071787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3320EA">
        <w:rPr>
          <w:color w:val="000000" w:themeColor="text1"/>
          <w:sz w:val="28"/>
          <w:szCs w:val="28"/>
        </w:rPr>
        <w:t xml:space="preserve">16. Результаты оценки эффективности налогового расхода должны соответствовать требованиям, отраженным в Правилах. </w:t>
      </w:r>
    </w:p>
    <w:sectPr w:rsidR="009C7885" w:rsidRPr="0071787A" w:rsidSect="001226C3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3DD057" w16cid:durableId="323DD057"/>
  <w16cid:commentId w16cid:paraId="4612B421" w16cid:durableId="4612B421"/>
  <w16cid:commentId w16cid:paraId="18D39B71" w16cid:durableId="18D39B71"/>
  <w16cid:commentId w16cid:paraId="2A912457" w16cid:durableId="2A912457"/>
  <w16cid:commentId w16cid:paraId="767B8080" w16cid:durableId="767B8080"/>
  <w16cid:commentId w16cid:paraId="465F223C" w16cid:durableId="465F223C"/>
  <w16cid:commentId w16cid:paraId="2F961825" w16cid:durableId="2F9618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297D" w14:textId="77777777" w:rsidR="005212B6" w:rsidRDefault="005212B6" w:rsidP="005212B6">
      <w:pPr>
        <w:spacing w:after="0" w:line="240" w:lineRule="auto"/>
      </w:pPr>
      <w:r>
        <w:separator/>
      </w:r>
    </w:p>
  </w:endnote>
  <w:endnote w:type="continuationSeparator" w:id="0">
    <w:p w14:paraId="6843C9A1" w14:textId="77777777" w:rsidR="005212B6" w:rsidRDefault="005212B6" w:rsidP="0052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AB92" w14:textId="77777777" w:rsidR="005212B6" w:rsidRDefault="005212B6" w:rsidP="005212B6">
      <w:pPr>
        <w:spacing w:after="0" w:line="240" w:lineRule="auto"/>
      </w:pPr>
      <w:r>
        <w:separator/>
      </w:r>
    </w:p>
  </w:footnote>
  <w:footnote w:type="continuationSeparator" w:id="0">
    <w:p w14:paraId="08F79AEF" w14:textId="77777777" w:rsidR="005212B6" w:rsidRDefault="005212B6" w:rsidP="0052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5833031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B804CF9" w14:textId="1B64DE8C" w:rsidR="005212B6" w:rsidRPr="001226C3" w:rsidRDefault="005212B6">
        <w:pPr>
          <w:pStyle w:val="ad"/>
          <w:jc w:val="center"/>
          <w:rPr>
            <w:rFonts w:ascii="Times New Roman" w:hAnsi="Times New Roman"/>
            <w:sz w:val="28"/>
          </w:rPr>
        </w:pPr>
        <w:r w:rsidRPr="001226C3">
          <w:rPr>
            <w:rFonts w:ascii="Times New Roman" w:hAnsi="Times New Roman"/>
            <w:sz w:val="28"/>
          </w:rPr>
          <w:fldChar w:fldCharType="begin"/>
        </w:r>
        <w:r w:rsidRPr="001226C3">
          <w:rPr>
            <w:rFonts w:ascii="Times New Roman" w:hAnsi="Times New Roman"/>
            <w:sz w:val="28"/>
          </w:rPr>
          <w:instrText>PAGE   \* MERGEFORMAT</w:instrText>
        </w:r>
        <w:r w:rsidRPr="001226C3">
          <w:rPr>
            <w:rFonts w:ascii="Times New Roman" w:hAnsi="Times New Roman"/>
            <w:sz w:val="28"/>
          </w:rPr>
          <w:fldChar w:fldCharType="separate"/>
        </w:r>
        <w:r w:rsidR="0071787A">
          <w:rPr>
            <w:rFonts w:ascii="Times New Roman" w:hAnsi="Times New Roman"/>
            <w:noProof/>
            <w:sz w:val="28"/>
          </w:rPr>
          <w:t>3</w:t>
        </w:r>
        <w:r w:rsidRPr="001226C3">
          <w:rPr>
            <w:rFonts w:ascii="Times New Roman" w:hAnsi="Times New Roman"/>
            <w:sz w:val="28"/>
          </w:rPr>
          <w:fldChar w:fldCharType="end"/>
        </w:r>
      </w:p>
    </w:sdtContent>
  </w:sdt>
  <w:p w14:paraId="42E52A2D" w14:textId="77777777" w:rsidR="005212B6" w:rsidRDefault="005212B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D3D"/>
    <w:multiLevelType w:val="hybridMultilevel"/>
    <w:tmpl w:val="C5D6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EF"/>
    <w:rsid w:val="00024794"/>
    <w:rsid w:val="000503CF"/>
    <w:rsid w:val="00066E67"/>
    <w:rsid w:val="000758E9"/>
    <w:rsid w:val="000C33CB"/>
    <w:rsid w:val="000C5BD5"/>
    <w:rsid w:val="000D0B55"/>
    <w:rsid w:val="000F1FBF"/>
    <w:rsid w:val="000F2CF9"/>
    <w:rsid w:val="0011502C"/>
    <w:rsid w:val="001226C3"/>
    <w:rsid w:val="00123CB4"/>
    <w:rsid w:val="001B0C1D"/>
    <w:rsid w:val="001B151C"/>
    <w:rsid w:val="001D33C1"/>
    <w:rsid w:val="001D666F"/>
    <w:rsid w:val="001E3DED"/>
    <w:rsid w:val="001F1C4A"/>
    <w:rsid w:val="0020552A"/>
    <w:rsid w:val="00212B7D"/>
    <w:rsid w:val="00222E42"/>
    <w:rsid w:val="0023492A"/>
    <w:rsid w:val="00240ECE"/>
    <w:rsid w:val="00262E98"/>
    <w:rsid w:val="00281449"/>
    <w:rsid w:val="002D14A9"/>
    <w:rsid w:val="003320EA"/>
    <w:rsid w:val="00361986"/>
    <w:rsid w:val="003A605C"/>
    <w:rsid w:val="003F1777"/>
    <w:rsid w:val="00400DF9"/>
    <w:rsid w:val="00416D73"/>
    <w:rsid w:val="00440526"/>
    <w:rsid w:val="00441AC6"/>
    <w:rsid w:val="0049536E"/>
    <w:rsid w:val="004C68C2"/>
    <w:rsid w:val="004D03E8"/>
    <w:rsid w:val="004F0C4B"/>
    <w:rsid w:val="004F2340"/>
    <w:rsid w:val="004F26D6"/>
    <w:rsid w:val="005212B6"/>
    <w:rsid w:val="005509A6"/>
    <w:rsid w:val="00563BCF"/>
    <w:rsid w:val="00593CAE"/>
    <w:rsid w:val="005C5AA1"/>
    <w:rsid w:val="005E4614"/>
    <w:rsid w:val="00606A28"/>
    <w:rsid w:val="00622945"/>
    <w:rsid w:val="006269A7"/>
    <w:rsid w:val="00627722"/>
    <w:rsid w:val="006B5996"/>
    <w:rsid w:val="006C36FD"/>
    <w:rsid w:val="006E7BE5"/>
    <w:rsid w:val="006F3398"/>
    <w:rsid w:val="00715E24"/>
    <w:rsid w:val="0071787A"/>
    <w:rsid w:val="00767445"/>
    <w:rsid w:val="007C08E8"/>
    <w:rsid w:val="007E4B4A"/>
    <w:rsid w:val="007E4DAD"/>
    <w:rsid w:val="007F0E2E"/>
    <w:rsid w:val="007F110E"/>
    <w:rsid w:val="007F60E6"/>
    <w:rsid w:val="0081010E"/>
    <w:rsid w:val="00852647"/>
    <w:rsid w:val="00866E03"/>
    <w:rsid w:val="00882A37"/>
    <w:rsid w:val="0088436F"/>
    <w:rsid w:val="008D6BA5"/>
    <w:rsid w:val="00944CF5"/>
    <w:rsid w:val="009722C9"/>
    <w:rsid w:val="009748B4"/>
    <w:rsid w:val="00976C2A"/>
    <w:rsid w:val="009B49D2"/>
    <w:rsid w:val="009C7885"/>
    <w:rsid w:val="009D0AC5"/>
    <w:rsid w:val="009D567C"/>
    <w:rsid w:val="00A526E9"/>
    <w:rsid w:val="00AB4C02"/>
    <w:rsid w:val="00AC2BB7"/>
    <w:rsid w:val="00AE6640"/>
    <w:rsid w:val="00B10CAD"/>
    <w:rsid w:val="00B11ED7"/>
    <w:rsid w:val="00B11FC3"/>
    <w:rsid w:val="00B17CE2"/>
    <w:rsid w:val="00B26B83"/>
    <w:rsid w:val="00B35AEF"/>
    <w:rsid w:val="00B46C3C"/>
    <w:rsid w:val="00B90732"/>
    <w:rsid w:val="00B90D2C"/>
    <w:rsid w:val="00B954CF"/>
    <w:rsid w:val="00C01F25"/>
    <w:rsid w:val="00C03326"/>
    <w:rsid w:val="00C174A1"/>
    <w:rsid w:val="00C65E57"/>
    <w:rsid w:val="00C75170"/>
    <w:rsid w:val="00C8367D"/>
    <w:rsid w:val="00CE0C12"/>
    <w:rsid w:val="00CE77BF"/>
    <w:rsid w:val="00D13454"/>
    <w:rsid w:val="00D1445E"/>
    <w:rsid w:val="00D232FC"/>
    <w:rsid w:val="00D25340"/>
    <w:rsid w:val="00D63C76"/>
    <w:rsid w:val="00D71220"/>
    <w:rsid w:val="00DA3531"/>
    <w:rsid w:val="00DC0327"/>
    <w:rsid w:val="00DE33D1"/>
    <w:rsid w:val="00E527CD"/>
    <w:rsid w:val="00E70DDD"/>
    <w:rsid w:val="00E73569"/>
    <w:rsid w:val="00EA3466"/>
    <w:rsid w:val="00EA4EC0"/>
    <w:rsid w:val="00ED20CB"/>
    <w:rsid w:val="00ED3C1F"/>
    <w:rsid w:val="00F222EA"/>
    <w:rsid w:val="00F40274"/>
    <w:rsid w:val="00F44053"/>
    <w:rsid w:val="00F610A3"/>
    <w:rsid w:val="00F8521E"/>
    <w:rsid w:val="00F97591"/>
    <w:rsid w:val="00FB7CE9"/>
    <w:rsid w:val="00FC13B0"/>
    <w:rsid w:val="00FF3808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1D46"/>
  <w15:chartTrackingRefBased/>
  <w15:docId w15:val="{0BB031E4-28E4-4CBB-93B4-9B96FE27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EF"/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5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B35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ED20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val="ru-RU" w:eastAsia="ru-RU"/>
      <w14:ligatures w14:val="standardContextual"/>
    </w:rPr>
  </w:style>
  <w:style w:type="table" w:styleId="a3">
    <w:name w:val="Table Grid"/>
    <w:basedOn w:val="a1"/>
    <w:uiPriority w:val="39"/>
    <w:rsid w:val="00C1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C5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6">
    <w:name w:val="annotation reference"/>
    <w:basedOn w:val="a0"/>
    <w:uiPriority w:val="99"/>
    <w:semiHidden/>
    <w:unhideWhenUsed/>
    <w:rsid w:val="00D7122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7122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71220"/>
    <w:rPr>
      <w:rFonts w:eastAsiaTheme="minorEastAsia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7122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71220"/>
    <w:rPr>
      <w:rFonts w:eastAsiaTheme="minorEastAsia" w:cs="Times New Roman"/>
      <w:b/>
      <w:bCs/>
      <w:sz w:val="20"/>
      <w:szCs w:val="20"/>
      <w:lang w:val="ru-RU" w:eastAsia="ru-RU"/>
    </w:rPr>
  </w:style>
  <w:style w:type="paragraph" w:styleId="ab">
    <w:name w:val="Revision"/>
    <w:hidden/>
    <w:uiPriority w:val="99"/>
    <w:semiHidden/>
    <w:rsid w:val="009748B4"/>
    <w:pPr>
      <w:spacing w:after="0" w:line="240" w:lineRule="auto"/>
    </w:pPr>
    <w:rPr>
      <w:rFonts w:eastAsiaTheme="minorEastAsia" w:cs="Times New Roman"/>
      <w:lang w:val="ru-RU" w:eastAsia="ru-RU"/>
    </w:rPr>
  </w:style>
  <w:style w:type="paragraph" w:styleId="ac">
    <w:name w:val="List Paragraph"/>
    <w:basedOn w:val="a"/>
    <w:uiPriority w:val="34"/>
    <w:qFormat/>
    <w:rsid w:val="00F610A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ad">
    <w:name w:val="header"/>
    <w:basedOn w:val="a"/>
    <w:link w:val="ae"/>
    <w:uiPriority w:val="99"/>
    <w:unhideWhenUsed/>
    <w:rsid w:val="0052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12B6"/>
    <w:rPr>
      <w:rFonts w:eastAsiaTheme="minorEastAsia" w:cs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2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12B6"/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F4E1-A568-4EEE-BF37-3026BB9F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Сусленникова Екатерина Александровна \ Ekaterina Suslennikova</dc:creator>
  <cp:keywords/>
  <dc:description/>
  <cp:lastModifiedBy>1</cp:lastModifiedBy>
  <cp:revision>12</cp:revision>
  <dcterms:created xsi:type="dcterms:W3CDTF">2025-12-22T13:29:00Z</dcterms:created>
  <dcterms:modified xsi:type="dcterms:W3CDTF">2026-04-14T15:23:00Z</dcterms:modified>
</cp:coreProperties>
</file>