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4536"/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6"/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Федерального агентства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6"/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____________ 2026 г. 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Служебный распорядок центрального аппарата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агентства железнодорожного транспорта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Общие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numPr>
          <w:ilvl w:val="1"/>
          <w:numId w:val="3"/>
        </w:numPr>
        <w:ind w:left="-142" w:right="0" w:firstLine="850"/>
        <w:jc w:val="both"/>
        <w:spacing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Служебный распорядок Федерального агентства железнодорожного транспорта (далее – Служебный распорядок) регламентирует режим службы (работы) и время отдыха федеральных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и работников, замещающих должности, не являющиеся должностями федеральной государственной гражданской службы, центрального аппарата Федерального агентства железнодорожного транспорта (далее соответственно – гражданские служащие, работники, </w:t>
      </w:r>
      <w:r>
        <w:rPr>
          <w:rFonts w:ascii="Times New Roman" w:hAnsi="Times New Roman" w:cs="Times New Roman"/>
          <w:sz w:val="28"/>
          <w:szCs w:val="28"/>
        </w:rPr>
        <w:t xml:space="preserve">Росжелдор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numPr>
          <w:ilvl w:val="1"/>
          <w:numId w:val="3"/>
        </w:numPr>
        <w:ind w:left="-142" w:firstLine="850"/>
        <w:jc w:val="both"/>
        <w:spacing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Служебный распорядок разработан в целях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, рационального использования служебного времени, повышения результативности профессиональной служебной деятельности гражданских служащих (работников), состоящих в служебных (трудовых) отношениях с </w:t>
      </w:r>
      <w:r>
        <w:rPr>
          <w:rFonts w:ascii="Times New Roman" w:hAnsi="Times New Roman" w:cs="Times New Roman"/>
          <w:sz w:val="28"/>
          <w:szCs w:val="28"/>
        </w:rPr>
        <w:t xml:space="preserve">Росжелдором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numPr>
          <w:ilvl w:val="1"/>
          <w:numId w:val="3"/>
        </w:numPr>
        <w:ind w:left="-142" w:firstLine="850"/>
        <w:jc w:val="both"/>
        <w:spacing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служебного контракта (трудового договора)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, к компетенции которого отнесены вопросы государственной службы и кадров, обязано ознакомить гражданина, поступающего на государственную гражданскую службу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cs="Times New Roman"/>
          <w:sz w:val="28"/>
          <w:szCs w:val="28"/>
        </w:rPr>
        <w:t xml:space="preserve">лее – гражданская служба) в соответствии с законодательством Российской Федерации </w:t>
        <w:br/>
        <w:t xml:space="preserve">о гражданской службе или работу по трудовому договору (далее – работа) </w:t>
        <w:br/>
        <w:t xml:space="preserve">в соответствии с трудовым законодательством Российской Федерации, с настоящим Служебным распорядком.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numPr>
          <w:ilvl w:val="1"/>
          <w:numId w:val="3"/>
        </w:numPr>
        <w:ind w:left="-142" w:firstLine="850"/>
        <w:jc w:val="both"/>
        <w:spacing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Обязательное соблюдение гражданскими служащими (работниками) Служебного распорядка является основой служебной дисциплины при </w:t>
      </w:r>
      <w:r>
        <w:rPr>
          <w:rFonts w:ascii="Times New Roman" w:hAnsi="Times New Roman" w:cs="Times New Roman"/>
          <w:sz w:val="28"/>
          <w:szCs w:val="28"/>
        </w:rPr>
        <w:t xml:space="preserve">исполнении должностных обязанностей в соответствии со служебным контрактом (трудовым договором).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numPr>
          <w:ilvl w:val="1"/>
          <w:numId w:val="3"/>
        </w:numPr>
        <w:ind w:left="0" w:right="0" w:firstLine="709"/>
        <w:jc w:val="both"/>
        <w:spacing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не урегулированные Служебным распорядком, рассматриваются в соответствии с законодательством Российской Федерации </w:t>
        <w:br/>
        <w:t xml:space="preserve">о 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трудовым законодательством Российской Федерации, законодательными и иными нормативными правовыми актами Российской Федерации, содержащими нормы </w:t>
        <w:br/>
        <w:t xml:space="preserve">о гражданской службе и нормы трудового права.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0"/>
        <w:jc w:val="both"/>
        <w:spacing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center"/>
        <w:spacing w:line="283" w:lineRule="atLeast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Режим служебного (рабочего) времени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соответствии с частью 1 статьи 45</w:t>
      </w:r>
      <w:r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акона </w:t>
        <w:br/>
        <w:t xml:space="preserve">от 27 июля 2004 г. № 79-ФЗ «О государственной гражданской службе Российской Федерации» и частью 1 статьи 91 Трудового кодекса Российской Федерации служебное время –  время, в течение которого гражданский служащий (работник) </w:t>
        <w:br/>
        <w:t xml:space="preserve">в соответствии со Служеб</w:t>
      </w:r>
      <w:r>
        <w:rPr>
          <w:rFonts w:ascii="Times New Roman" w:hAnsi="Times New Roman" w:cs="Times New Roman"/>
          <w:sz w:val="28"/>
          <w:szCs w:val="28"/>
        </w:rPr>
        <w:t xml:space="preserve">ным распорядком и условиями служебного контракта (трудового договора) должен исполнять свои должностные обязанности, а также иные периоды, которые в соответствии с федеральными законами и иными нормативными правовыми актами относятся к служебному времени.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Режим служебного (рабочего) времени для гражданских служащих (работников) предусматривает пятидневную служебную (рабочую) неделю с двумя выходными днями в субботу и воскресенье.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Нормальная продолжительность служебного (рабочего) времени для гражданских служащих (работников) не превышае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40 часов в неделю. Время начала и окончания служебного (рабочего) дня гражданских служащих (работников) в понедельник, вторник, среду и четверг устанавливается с 9 часов 00 минут </w:t>
        <w:br/>
        <w:t xml:space="preserve">до 18 часов 00 минут, в пятницу – с 9 часов 00 минут до 16 часов 45 минут.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Гражданским служащим (работникам) предоставляется перерыв продолжительностью 45 минут для отдыха и питания с 12:00 до 12:45, который </w:t>
        <w:br/>
        <w:t xml:space="preserve">в служебное (рабочее) время не включается.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Продолжительность служебного (рабочего) дня гражданских служащих (работников), непосредственно предшествующего праздничному дню, сокращается на один час.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 совпадении выходного и праздничного дней перенос выходного дня осуществляется в соответствии с трудовым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Ненормированный служебный день устанавливается для гражданских служащих, замещающих высшие и главные должности гражданской службы, </w:t>
        <w:br/>
        <w:t xml:space="preserve">а также для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перечнем должностей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, которым устанавливается ненормированный служебный день.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В исключительных случаях для выполнения особо важных поручений отдельные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(работники) могут быть привлечены </w:t>
        <w:br/>
        <w:t xml:space="preserve">к исполнению должностных обязанностей в выходные и нерабочие праздничные дни в соответствии с законодательством Российской Федерации о государственной гражданской службе и трудовым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По соглашению между гражда</w:t>
      </w:r>
      <w:r>
        <w:rPr>
          <w:rFonts w:ascii="Times New Roman" w:hAnsi="Times New Roman" w:cs="Times New Roman"/>
          <w:sz w:val="28"/>
          <w:szCs w:val="28"/>
        </w:rPr>
        <w:t xml:space="preserve">нс</w:t>
      </w:r>
      <w:r>
        <w:rPr>
          <w:rFonts w:ascii="Times New Roman" w:hAnsi="Times New Roman" w:cs="Times New Roman"/>
          <w:sz w:val="28"/>
          <w:szCs w:val="28"/>
        </w:rPr>
        <w:t xml:space="preserve">ким служащим (работником) </w:t>
        <w:br/>
        <w:t xml:space="preserve">и представителем нанимателя (руководителем) могут быть изменены начало </w:t>
        <w:br/>
        <w:t xml:space="preserve">и окончание служебного времени, установлены неполный служебный (рабочий) день или неполная служебная (рабочая) неделя, о чем издается соответствующий приказ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. Оплата труда при неполном служебном (рабочем) времени, установленном по согласованию сторон служебного контракта (трудового договора), производится пропорционально времени фактического исполнения должностных обязанностей.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Учет времени прихода гражданских служащих (работников) на работу </w:t>
        <w:br/>
        <w:t xml:space="preserve">и ухода с работы осуществляется руководителем или гражданским служащим (работником) соответствующего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 ведется табель учета служебного (рабочего) времени гражданских служащих (работников).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 w:firstLine="0"/>
        <w:jc w:val="center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Время отдыха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709" w:firstLine="0"/>
        <w:jc w:val="center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 времени отдыха гражданских служащих (работников) относятся перерывы в течение служебного (рабочего) дня, ежедневный отдых, выходные </w:t>
        <w:br/>
        <w:t xml:space="preserve">и нерабочие праздничные дни, отпуска.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Гражданскому служащему (работнику) в соответствии с графиком отпусков предоставляется ежегодный отпуск с сохранением замещаемой должности гражданской службы (работы) и денежного содержания (заработной платы).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График отпусков утверждается представителем нанимателя не позднее чем за 2 недели до наступления календарного года и доводится до сведения всех гражданских служащих (работников).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Ежегодный оплачиваемый отпуск гражданского служащего (работника) состоит из основного оплачиваемого отпуска и дополнительных оплачиваемых отпусков.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Гражданским служащим предоставляется ежегодный основной оплачиваемый отпуск продолжительностью 30 календарных дней.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Работникам предоставляется ежегодный основной оплачиваемый отпуск продолжительностью 28 календарных дней.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3.7. Гражданским служащим предоставляется ежегодный дополнительный оплачиваемый отпуск за выслугу лет продолжительностью: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стаже гражданской с</w:t>
      </w:r>
      <w:r>
        <w:rPr>
          <w:rFonts w:ascii="Times New Roman" w:hAnsi="Times New Roman" w:cs="Times New Roman"/>
          <w:sz w:val="28"/>
          <w:szCs w:val="28"/>
        </w:rPr>
        <w:t xml:space="preserve">лужбы от 1 года до 5 лет - 1 календарный день;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стаже гражданской службы от 5 до 10 лет - 5 календарных дней;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стаже гражданской службы от 10 до 15 лет - 7 календарных дней;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 стаже гражданской службы 15 лет и более - 10 календарных дней.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Гражданским служащим (работникам),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</w:t>
        <w:br/>
        <w:t xml:space="preserve">3 календарных дня.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Ежегодный дополните</w:t>
      </w:r>
      <w:r>
        <w:rPr>
          <w:rFonts w:ascii="Times New Roman" w:hAnsi="Times New Roman" w:cs="Times New Roman"/>
          <w:sz w:val="28"/>
          <w:szCs w:val="28"/>
        </w:rPr>
        <w:t xml:space="preserve">льный оплачиваемый отпуск предоставляется  гражданскому служащему за ненормированный служебный день сверх ежегодного основного оплачиваемого отпуска и ежегодного дополнительного оплачиваемого отпуска за выслугу лет гражданской службы и суммируется с ним.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Минимальная продо</w:t>
      </w:r>
      <w:r>
        <w:rPr>
          <w:rFonts w:ascii="Times New Roman" w:hAnsi="Times New Roman" w:cs="Times New Roman"/>
          <w:sz w:val="28"/>
          <w:szCs w:val="28"/>
        </w:rPr>
        <w:t xml:space="preserve">лжительность ежегодного оплачиваемого отпуска, используемого гражданским служащим (работником) в служебном (рабочем) году, за который предоставляется ежегодный оплачиваемый отпуск, не может быть менее 28 календарных дней.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соглашению между гражданским сл</w:t>
      </w:r>
      <w:r>
        <w:rPr>
          <w:rFonts w:ascii="Times New Roman" w:hAnsi="Times New Roman" w:cs="Times New Roman"/>
          <w:sz w:val="28"/>
          <w:szCs w:val="28"/>
        </w:rPr>
        <w:t xml:space="preserve">уж</w:t>
      </w:r>
      <w:r>
        <w:rPr>
          <w:rFonts w:ascii="Times New Roman" w:hAnsi="Times New Roman" w:cs="Times New Roman"/>
          <w:sz w:val="28"/>
          <w:szCs w:val="28"/>
        </w:rPr>
        <w:t xml:space="preserve">ащим (работником) </w:t>
        <w:br/>
        <w:t xml:space="preserve">и представителем нанимателя ежегодный оплачиваемый отпуск может быть разделен на части. При этом хотя бы одна из частей ежегодного оплачиваемого отпуска гражданского служащего (работника) должна составлять не менее </w:t>
        <w:br/>
        <w:t xml:space="preserve">14 календарных дней.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В исключительных случаях, если предоставление гражданскому служащему (работнику) ежегодного оплачиваемого отпуска в текущем служебном году может неблагоприятно отразиться на выполнении возложенных на </w:t>
      </w:r>
      <w:r>
        <w:rPr>
          <w:rFonts w:ascii="Times New Roman" w:hAnsi="Times New Roman" w:cs="Times New Roman"/>
          <w:sz w:val="28"/>
          <w:szCs w:val="28"/>
        </w:rPr>
        <w:t xml:space="preserve">Росжелдор</w:t>
      </w:r>
      <w:r>
        <w:rPr>
          <w:rFonts w:ascii="Times New Roman" w:hAnsi="Times New Roman" w:cs="Times New Roman"/>
          <w:sz w:val="28"/>
          <w:szCs w:val="28"/>
        </w:rPr>
        <w:t xml:space="preserve"> задач и функций, по решению представителя нанимателя с письменного согласия гражданского служащего (работника) допускается перенос части ежегодного оплачиваемого отпуска, превышающей 28 календарных дней,</w:t>
      </w:r>
      <w:r>
        <w:rPr>
          <w:rFonts w:ascii="Times New Roman" w:hAnsi="Times New Roman" w:cs="Times New Roman"/>
          <w:sz w:val="28"/>
          <w:szCs w:val="28"/>
        </w:rPr>
        <w:t xml:space="preserve"> на следующий служебный (рабочий) год. При этом перенесенная часть ежегодного оплачиваемого отпуска должна быть использована не позднее чем в течение 12 месяцев после окончания того служебного (рабочего) года, за который эта часть отпуска предоставляется.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Отпуск за первый год гражданской службы (работы) предоставляется гражданскому служащему (работнику) по истечении 6 месяцев непрерывной гражданской службы (работы) в </w:t>
      </w:r>
      <w:r>
        <w:rPr>
          <w:rFonts w:ascii="Times New Roman" w:hAnsi="Times New Roman" w:cs="Times New Roman"/>
          <w:sz w:val="28"/>
          <w:szCs w:val="28"/>
        </w:rPr>
        <w:t xml:space="preserve">Росжелдоре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По соглашению между гражданским служащим (работником) </w:t>
        <w:br/>
        <w:t xml:space="preserve">и представителем нанимателя </w:t>
      </w:r>
      <w:r>
        <w:rPr>
          <w:rFonts w:ascii="Times New Roman" w:hAnsi="Times New Roman" w:cs="Times New Roman"/>
          <w:sz w:val="28"/>
          <w:szCs w:val="28"/>
        </w:rPr>
        <w:t xml:space="preserve"> и в иных случаях, установленных законодательством Российской Федерации о гражданской службе и трудовым законодательством Российской Федерации, отпуск гражданскому служащему (работнику) пр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доставляется и до истечения 6 месяцев. Отпуска за второй </w:t>
        <w:br/>
        <w:t xml:space="preserve">и последующие годы гражданской службы (работы) предоставляются гражданскому служащему (работнику) в любое время служебного (рабочего) года в порядке очередности, определяемой графиком отпусков.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3.14. Для оформления отпуска гражданский служащий (работник) подает заявление на имя представителя нанимателя, согласованное с руководителем (заместителем руководителя)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, в котором гражданский служащий (работник) замещает должность.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Отпуск гражданскому служащему (работнику) предоставляется </w:t>
        <w:br/>
        <w:t xml:space="preserve">на основании приказа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Отзыв гражданского служащего (работника) из отпуска может осуществляться только с его согласия и на основании приказа </w:t>
      </w:r>
      <w:r>
        <w:rPr>
          <w:rFonts w:ascii="Times New Roman" w:hAnsi="Times New Roman" w:cs="Times New Roman"/>
          <w:sz w:val="28"/>
          <w:szCs w:val="28"/>
        </w:rPr>
        <w:t xml:space="preserve">Росжелдора</w:t>
      </w:r>
      <w:r>
        <w:rPr>
          <w:rFonts w:ascii="Times New Roman" w:hAnsi="Times New Roman" w:cs="Times New Roman"/>
          <w:sz w:val="28"/>
          <w:szCs w:val="28"/>
        </w:rPr>
        <w:t xml:space="preserve">. </w:t>
        <w:br/>
        <w:t xml:space="preserve">Не использованная в связи с этим часть отпуска должна быть предоставлена </w:t>
        <w:br/>
        <w:t xml:space="preserve">по выбору гражданского служащего (работника) в удобное для него время в течение текущего служебного (рабочего) года или п</w:t>
      </w:r>
      <w:r>
        <w:rPr>
          <w:rFonts w:ascii="Times New Roman" w:hAnsi="Times New Roman" w:cs="Times New Roman"/>
          <w:sz w:val="28"/>
          <w:szCs w:val="28"/>
        </w:rPr>
        <w:t xml:space="preserve">рисоединена к отпуску за следующий служебный (рабочий) год.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По семейным обстоятельствам и иным уважительным причинам гражданскому служащему (работнику) по его письменному заявлению решением представителя нанимателя может предоставляться отпуск без сохр</w:t>
      </w:r>
      <w:r>
        <w:rPr>
          <w:rFonts w:ascii="Times New Roman" w:hAnsi="Times New Roman" w:cs="Times New Roman"/>
          <w:sz w:val="28"/>
          <w:szCs w:val="28"/>
        </w:rPr>
        <w:t xml:space="preserve">анения денежного содержания, продолжительность которого устанавливается законодательными </w:t>
        <w:br/>
        <w:t xml:space="preserve">и иными нормативными правовыми актами Российской Федерации, содержащими нормы о гражданской службе и нормы трудового права.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Во время отпуска без сохранения денежно</w:t>
      </w:r>
      <w:r>
        <w:rPr>
          <w:rFonts w:ascii="Times New Roman" w:hAnsi="Times New Roman" w:cs="Times New Roman"/>
          <w:sz w:val="28"/>
          <w:szCs w:val="28"/>
        </w:rPr>
        <w:t xml:space="preserve">го содержания (заработной платы) за гражданским служащим (работником) сохраняется замещаемая должность гражданской службы (работы).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 w:line="283" w:lineRule="atLeas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При прекращении или расторжении служебного контракта (трудового договора), освобождении от замещаемой должности гражданс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ой службы </w:t>
        <w:br/>
        <w:t xml:space="preserve">и увольнении с гражданской службы (работы) гражданскому служащему (работнику) выплачивается денежная компенсация за все неиспользованные дни отпуска. По письменному заявлению гражданского служащего (работника) неиспользованные дни отпуска могут </w:t>
      </w:r>
      <w:r>
        <w:rPr>
          <w:rFonts w:ascii="Times New Roman" w:hAnsi="Times New Roman" w:cs="Times New Roman"/>
          <w:sz w:val="28"/>
          <w:szCs w:val="28"/>
        </w:rPr>
        <w:t xml:space="preserve">быть предоставлены ему с последующим уво</w:t>
      </w:r>
      <w:r>
        <w:rPr>
          <w:rFonts w:ascii="Times New Roman" w:hAnsi="Times New Roman" w:cs="Times New Roman"/>
          <w:sz w:val="28"/>
          <w:szCs w:val="28"/>
        </w:rPr>
        <w:t xml:space="preserve">льнением (за исключением случаев освобождения от замещаемой должности гражданской службы и увольнения с гражданской службы (работы) за виновные действия). При этом днем освобождения от замещаемой должности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и увольнения с гражданской служ</w:t>
      </w:r>
      <w:r>
        <w:rPr>
          <w:rFonts w:ascii="Times New Roman" w:hAnsi="Times New Roman" w:cs="Times New Roman"/>
          <w:sz w:val="28"/>
          <w:szCs w:val="28"/>
        </w:rPr>
        <w:t xml:space="preserve">бы (работы) считается последний день отпуска.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567" w:right="567" w:bottom="255" w:left="1134" w:header="708" w:footer="12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7"/>
    <w:next w:val="877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8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7"/>
    <w:next w:val="877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8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8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8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8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8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8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8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8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8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8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8"/>
    <w:link w:val="727"/>
    <w:uiPriority w:val="99"/>
  </w:style>
  <w:style w:type="paragraph" w:styleId="729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8"/>
    <w:link w:val="729"/>
    <w:uiPriority w:val="99"/>
  </w:style>
  <w:style w:type="paragraph" w:styleId="731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8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8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List Paragraph"/>
    <w:basedOn w:val="87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Порываев Александр Александрович</dc:creator>
  <cp:lastModifiedBy>v.potapova</cp:lastModifiedBy>
  <cp:revision>13</cp:revision>
  <dcterms:created xsi:type="dcterms:W3CDTF">2024-06-27T11:31:00Z</dcterms:created>
  <dcterms:modified xsi:type="dcterms:W3CDTF">2026-03-16T14:41:39Z</dcterms:modified>
</cp:coreProperties>
</file>