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76" w:rsidRPr="00047076" w:rsidRDefault="00047076" w:rsidP="00047076">
      <w:pPr>
        <w:spacing w:after="0" w:line="240" w:lineRule="auto"/>
        <w:jc w:val="center"/>
        <w:rPr>
          <w:rFonts w:ascii="PT Astra Serif" w:eastAsia="Times New Roman" w:hAnsi="PT Astra Serif" w:cs="Times New Roman"/>
          <w:b/>
          <w:color w:val="000000"/>
          <w:sz w:val="28"/>
          <w:szCs w:val="20"/>
          <w:lang w:eastAsia="ru-RU"/>
        </w:rPr>
      </w:pPr>
      <w:r w:rsidRPr="00047076">
        <w:rPr>
          <w:rFonts w:ascii="PT Astra Serif" w:eastAsia="Times New Roman" w:hAnsi="PT Astra Serif" w:cs="Times New Roman"/>
          <w:b/>
          <w:color w:val="000000"/>
          <w:sz w:val="28"/>
          <w:szCs w:val="20"/>
          <w:lang w:eastAsia="ru-RU"/>
        </w:rPr>
        <w:t>ПОЯСНИТЕЛЬНАЯ ЗАПИСКА</w:t>
      </w:r>
    </w:p>
    <w:p w:rsidR="00047076" w:rsidRPr="00047076" w:rsidRDefault="00047076" w:rsidP="00047076">
      <w:pPr>
        <w:spacing w:after="0" w:line="240" w:lineRule="auto"/>
        <w:jc w:val="center"/>
        <w:rPr>
          <w:rFonts w:ascii="PT Astra Serif" w:eastAsia="Times New Roman" w:hAnsi="PT Astra Serif" w:cs="Times New Roman"/>
          <w:b/>
          <w:color w:val="000000"/>
          <w:sz w:val="28"/>
          <w:szCs w:val="20"/>
          <w:lang w:eastAsia="ru-RU"/>
        </w:rPr>
      </w:pPr>
      <w:r w:rsidRPr="00047076">
        <w:rPr>
          <w:rFonts w:ascii="PT Astra Serif" w:eastAsia="Times New Roman" w:hAnsi="PT Astra Serif" w:cs="Times New Roman"/>
          <w:b/>
          <w:color w:val="000000"/>
          <w:sz w:val="28"/>
          <w:szCs w:val="20"/>
          <w:lang w:eastAsia="ru-RU"/>
        </w:rPr>
        <w:t>к проекту федерального закона</w:t>
      </w:r>
    </w:p>
    <w:p w:rsidR="00047076" w:rsidRPr="00047076" w:rsidRDefault="00047076" w:rsidP="00047076">
      <w:pPr>
        <w:spacing w:after="0" w:line="240" w:lineRule="auto"/>
        <w:jc w:val="center"/>
        <w:rPr>
          <w:rFonts w:ascii="PT Astra Serif" w:eastAsia="Times New Roman" w:hAnsi="PT Astra Serif" w:cs="Times New Roman"/>
          <w:color w:val="000000"/>
          <w:sz w:val="28"/>
          <w:szCs w:val="20"/>
          <w:lang w:eastAsia="ru-RU"/>
        </w:rPr>
      </w:pPr>
      <w:r w:rsidRPr="00047076">
        <w:rPr>
          <w:rFonts w:ascii="PT Astra Serif" w:eastAsia="Times New Roman" w:hAnsi="PT Astra Serif" w:cs="Times New Roman"/>
          <w:b/>
          <w:color w:val="000000"/>
          <w:sz w:val="28"/>
          <w:szCs w:val="20"/>
          <w:lang w:eastAsia="ru-RU"/>
        </w:rPr>
        <w:t>«О внесении изменений в отдельные законодательные акты Российской Федерации»</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 xml:space="preserve">Проект федерального закона разработан во исполнение </w:t>
      </w:r>
      <w:r w:rsidRPr="00047076">
        <w:rPr>
          <w:rFonts w:ascii="PT Astra Serif" w:eastAsia="Times New Roman" w:hAnsi="PT Astra Serif" w:cs="Times New Roman"/>
          <w:sz w:val="28"/>
          <w:szCs w:val="28"/>
          <w:lang w:eastAsia="ru-RU"/>
        </w:rPr>
        <w:t xml:space="preserve">Постановления Конституционного Суда Российской Федерации от 11 февраля 2026 года № 6-П по делу о проверке конституционности части 3 статьи 108 Кодекса административного судопроизводства Российской Федерации. Указанным Постановлением соответствующая норма признана не соответствующей Конституции Российской Федерации в той мере, в какой она, не исключая </w:t>
      </w:r>
      <w:r w:rsidRPr="00047076">
        <w:rPr>
          <w:rFonts w:ascii="PT Astra Serif" w:eastAsia="Times New Roman" w:hAnsi="PT Astra Serif" w:cs="Times New Roman"/>
          <w:color w:val="000000"/>
          <w:sz w:val="28"/>
          <w:szCs w:val="28"/>
          <w:lang w:eastAsia="ru-RU"/>
        </w:rPr>
        <w:t>полномочия суда снизить ранее согласованный и утвержденный размер вознаграждения эксперта (экспертной организации), не содержит нормативных критериев допустимости такого снижения и в сложившейся правоприменительной практике допускает уменьшение размера вознаграждения негосударственных экспертных организаций преимущественно по критериям, применяемым к государственным судебно-экспертным учреждениям.</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Конституционный Суд Российской Федерации указал на наличие пробела в правовом регулировании, препятствующего реализации конституционных гарантий свободы экономической деятельности, права частной собственности, равенства перед законом и судом, а также права на судебную защиту. Отсутствие в статье 108 Кодекса административного судопроизводства Российской Федерации четкого регулирования порядка и оснований снижения размера вознаграждения эксперта после проведения экспертизы создало условия для формирования неоднородной судебной практики, при которой установленный определением суда размер оплаты мог впоследствии существенно уменьшаться без надлежащего учета специфики деятельности экспертных организаций, характера проведенного исследования, его сложности и объема.</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 xml:space="preserve">В действующих редакциях статьи 107 </w:t>
      </w:r>
      <w:r w:rsidRPr="00047076">
        <w:rPr>
          <w:rFonts w:ascii="PT Astra Serif" w:eastAsia="Times New Roman" w:hAnsi="PT Astra Serif" w:cs="Times New Roman"/>
          <w:sz w:val="28"/>
          <w:szCs w:val="28"/>
          <w:lang w:eastAsia="ru-RU"/>
        </w:rPr>
        <w:t xml:space="preserve">Арбитражного процессуального кодекса Российской Федерации, статьи 95 Гражданского процессуального кодекса Российской Федерации и статьи 108 Кодекса административного судопроизводства Российской Федерации предусмотрено, что размер вознаграждения эксперту определяется судом по согласованию со сторонами и по соглашению с экспертом (экспертной </w:t>
      </w:r>
      <w:r w:rsidRPr="00047076">
        <w:rPr>
          <w:rFonts w:ascii="PT Astra Serif" w:eastAsia="Times New Roman" w:hAnsi="PT Astra Serif" w:cs="Times New Roman"/>
          <w:color w:val="000000"/>
          <w:sz w:val="28"/>
          <w:szCs w:val="28"/>
          <w:lang w:eastAsia="ru-RU"/>
        </w:rPr>
        <w:t>организацией) до проведения экспертизы (или же не предусмотрено вовсе). Вместе с тем законодательство не устанавливает ни пределов возможного последующего пересмотра данного размера, ни критериев, которыми суд должен руководствоваться при оценке его обоснованности после исследования заключения эксперта. Это обстоятельство негативно влияет на принцип правовой определенности, подрывает доверие участников гражданского оборота к судебным решениям и способно привести к снижению доступности квалифицированной судебной экспертизы, что, в свою очередь, отражается на качестве судебной защиты.</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lastRenderedPageBreak/>
        <w:t xml:space="preserve">Законопроект направлен на устранение выявленного Конституционным Судом Российской Федерации пробела и формирование сбалансированного правового механизма, обеспечивающего как контроль суда за разумностью судебных расходов, так и гарантии защиты имущественных прав экспертов и экспертных организаций. Проектом федерального закона предлагается закрепление положения о том, что установленный судом размер вознаграждения эксперта может быть снижен после исследования заключения эксперта исключительно в случаях и порядке, прямо предусмотренных законом. Одновременно устанавливается исчерпывающий перечень оснований для снижения размера вознаграждения, к числу которых относятся отсутствие </w:t>
      </w:r>
      <w:bookmarkStart w:id="0" w:name="_GoBack"/>
      <w:bookmarkEnd w:id="0"/>
      <w:r w:rsidRPr="00047076">
        <w:rPr>
          <w:rFonts w:ascii="PT Astra Serif" w:eastAsia="Times New Roman" w:hAnsi="PT Astra Serif" w:cs="Times New Roman"/>
          <w:color w:val="000000"/>
          <w:sz w:val="28"/>
          <w:szCs w:val="28"/>
          <w:lang w:eastAsia="ru-RU"/>
        </w:rPr>
        <w:t>в заключении эксперта выводов по поставленным судом вопросам, несоответствие выводов требованиям нормативных правовых актов, существенные нарушения порядка проведения экспертизы, нарушение сроков представления заключения, а также явная неразумность (чрезмерность) расходов на проведение экспертизы.</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Законопроектом также предусматривается обязанность суда учитывать характер и сложность экспертизы, объем выполненной работы, квалификацию эксперта, а также стоимость аналогичных услуг при оценке обоснованности размера вознаграждения. При этом эксперту (экспертной организации) предоставляется право представить дополнительные обоснования размера вознаграждения, которым суд обязан дать оценку.</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Предлагаемые изменения распространяются на арбитражное, гражданское и административное судопроизводство путем внесения соответствующих изменений в Арбитражный процессуальный кодекс Российской Федерации, Гражданский процессуальный кодекс Российской Федерации и Кодекс административного судопроизводства Российской Федерации.</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Принятие федерального закона позволит обеспечить правовую определенность в вопросах оплаты судебной экспертизы, повысить уровень гарантий защиты имущественных прав экспертов, укрепить доверие к судебной системе и создать дополнительные условия для принятия судами законных и обоснованных решений по делам, требующим специальных знаний.</w:t>
      </w:r>
    </w:p>
    <w:p w:rsidR="00047076" w:rsidRPr="00047076" w:rsidRDefault="00047076" w:rsidP="00047076">
      <w:pPr>
        <w:spacing w:after="0" w:line="240" w:lineRule="auto"/>
        <w:ind w:firstLine="709"/>
        <w:jc w:val="both"/>
        <w:rPr>
          <w:rFonts w:ascii="PT Astra Serif" w:eastAsia="Times New Roman" w:hAnsi="PT Astra Serif" w:cs="Times New Roman"/>
          <w:color w:val="000000"/>
          <w:sz w:val="28"/>
          <w:szCs w:val="28"/>
          <w:lang w:eastAsia="ru-RU"/>
        </w:rPr>
      </w:pPr>
      <w:r w:rsidRPr="00047076">
        <w:rPr>
          <w:rFonts w:ascii="PT Astra Serif" w:eastAsia="Times New Roman" w:hAnsi="PT Astra Serif" w:cs="Times New Roman"/>
          <w:color w:val="000000"/>
          <w:sz w:val="28"/>
          <w:szCs w:val="28"/>
          <w:lang w:eastAsia="ru-RU"/>
        </w:rPr>
        <w:t>Реализация положений законопроекта не потребует дополнительных расходов федерального бюджета и иных бюджетов бюджетной системы Российской Федерации и не повлечет изменения финансовых обязательств государства. Принятие федерального закона также не потребует признания утратившими силу, приостановления, изменения или принятия иных федеральных законов и подзаконных нормативных правовых актов.</w:t>
      </w:r>
    </w:p>
    <w:p w:rsidR="00BA0171" w:rsidRDefault="00BA0171"/>
    <w:sectPr w:rsidR="00BA0171" w:rsidSect="0004707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E"/>
    <w:rsid w:val="00047076"/>
    <w:rsid w:val="003F6B6E"/>
    <w:rsid w:val="00BA0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FE491-5EFC-4EEE-B47E-E5CB6FEA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Анатолий Владимирович</dc:creator>
  <cp:keywords/>
  <dc:description/>
  <cp:lastModifiedBy>Романов Анатолий Владимирович</cp:lastModifiedBy>
  <cp:revision>2</cp:revision>
  <dcterms:created xsi:type="dcterms:W3CDTF">2026-04-16T12:56:00Z</dcterms:created>
  <dcterms:modified xsi:type="dcterms:W3CDTF">2026-04-16T12:58:00Z</dcterms:modified>
</cp:coreProperties>
</file>