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64" w:lineRule="auto"/>
        <w:tabs>
          <w:tab w:val="left" w:pos="2190" w:leader="none"/>
        </w:tabs>
        <w:rPr>
          <w:rFonts w:ascii="Times New Roman" w:hAnsi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 w:eastAsia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«О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некоторые акты Правительства Российской Федерации по вопросам определения особенностей применения положений законодательства Российской Федерации о водоснабжении и водоотведении </w:t>
        <w:br/>
        <w:t xml:space="preserve">в</w:t>
      </w:r>
      <w:r>
        <w:rPr>
          <w:rFonts w:ascii="Times New Roman" w:hAnsi="Times New Roman"/>
          <w:b/>
          <w:sz w:val="28"/>
          <w:szCs w:val="28"/>
        </w:rPr>
        <w:t xml:space="preserve"> случае объявления мобилизации и </w:t>
      </w:r>
      <w:r>
        <w:rPr>
          <w:rFonts w:ascii="Times New Roman" w:hAnsi="Times New Roman"/>
          <w:b/>
          <w:sz w:val="28"/>
          <w:szCs w:val="28"/>
        </w:rPr>
        <w:t xml:space="preserve">в связи с введением правового режима военного положения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</w:t>
        <w:br/>
        <w:t xml:space="preserve">и об утверждении перечня субъектов Российской Федерации (частей территори</w:t>
      </w:r>
      <w:r>
        <w:rPr>
          <w:rFonts w:ascii="Times New Roman" w:hAnsi="Times New Roman"/>
          <w:b/>
          <w:sz w:val="28"/>
          <w:szCs w:val="28"/>
        </w:rPr>
        <w:t xml:space="preserve">й субъектов Российской Федерации), в отношении которых Правительством Российской Федерации устанавливаются указанные особенности применения положений законодательства Российской Федерации о водоснабжении и водоотведении»</w:t>
      </w:r>
      <w:r>
        <w:rPr>
          <w:rFonts w:ascii="Times New Roman" w:hAnsi="Times New Roman"/>
          <w:b/>
          <w:sz w:val="28"/>
          <w:szCs w:val="28"/>
        </w:rPr>
        <w:t xml:space="preserve"> (далее – проект постановления)</w:t>
      </w:r>
      <w:r>
        <w:rPr>
          <w:rFonts w:ascii="Times New Roman" w:hAnsi="Times New Roman" w:eastAsiaTheme="minorHAnsi"/>
          <w:b/>
          <w:sz w:val="28"/>
          <w:szCs w:val="28"/>
        </w:rPr>
      </w:r>
      <w:r>
        <w:rPr>
          <w:rFonts w:ascii="Times New Roman" w:hAnsi="Times New Roman" w:eastAsiaTheme="minorHAnsi"/>
          <w:b/>
          <w:sz w:val="28"/>
          <w:szCs w:val="28"/>
        </w:rPr>
      </w:r>
    </w:p>
    <w:p>
      <w:pPr>
        <w:ind w:firstLine="0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Проект постановления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разработан во исполнение пункта 7 Плана-графика подготовки нормативных правовых актов, необходимых дл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я реализации норм Федерального закона от 27 декабря 2025 г. № 391-ФЗ «О внесении изменений в отдельные законодательные акты Российской Федерации» утвержденного заместителем Председателя Правительства Российской Федерации 15 декабря 2025 г. № АН-П51-47971,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ц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елях обеспечения стабильного функционирования систем водоснабжения и водоотведения, а также снижения административной и финансовой нагрузки на организации водопроводно-канализационного хозяйства (далее – ВКХ) и абонентов в период действия особых правовых р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ежимов.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Проектом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постановления предусматривается, что перечень субъектов Российской Федерации (или их частей), на которые распространяется особый порядок регулирования, будет утверждаться отдельными постановлениями Правительства Российской Федерации по мере необходимости.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Также проектом постановления вносятся изменения в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Правила холодного водоснабжения и водоотведения, утвержденные постановлением Правительства Российской Федерации от 29 июля 2013 г. № 644 (далее – Правила № 644),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Правила горячего водоснабжения, утвержденные постановлением Правительства Российской Федерации от 29 июля 2013 г. № 642 (далее – Правила № 642)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Основы ценообразования в сфере водоснабжения и водоотведения, утвержденные постановлением Правительства Российской Федерации от 13 мая 2013 г. № 406 (далее - О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сновы ценообразования)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утвержденные постановлением Правительства Российской Федерации от 30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ноября 2021 г. № 2130 (далее – Правила № 2130)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Правила разработки и утверждения схем водоснабжения и водоотведения, утвержденные постановлением Правительства Российской Федерации от 5 сентября 2013 г. № 782 </w:t>
        <w:br/>
        <w:t xml:space="preserve">(далее – Правила № 782).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Ос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новной целью проекта постановления является установление особенностей правового регулирования отношений в сфере водоснабжения и (или) водоотведения </w:t>
        <w:br/>
        <w:t xml:space="preserve">на территориях, где о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бъявлена мобилизация,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введены режимы военного положения, контртеррористической операции, чрезвычайной ситуаци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и федерального </w:t>
        <w:br/>
        <w:t xml:space="preserve">или межрегионального характера, а также в военное время.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Проектом постановления предлагается с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нижение регуляторной нагрузки (мораторий на отдельные требования).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На период действия особых режимов предлагается </w:t>
        <w:br/>
        <w:t xml:space="preserve">не применять ряд положений, исполнение которых в кризисных условиях затруднительно или нецелесообразно. В частности, приостанавливается действие норм, регулирующих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процедуры ограничения и прекращения водоснабжения (за исключением аварийных ситуаций),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обязательность наличия узлов учета и приборов контроля,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требования к составу деклараций.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станавливается, что если срок действия декларации о составе и свойствах сточных вод истекает в период особого режима, ее действие продлевается до окончания этого периода и еще на 60 дней после него. Подача декларации на очередной год также переносится на 6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0-дневный срок после окончания режима. Это позволит абонентам избежать санкций за несвоевременную подачу документов по объективным причинам.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На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период особых режимов корректируются правила применения результатов контроля состава сточных вод. Предлагается распространять действие результатов одной проверки на период до следующего отбора проб, но не более чем на 12 месяцев. </w:t>
        <w:br/>
        <w:t xml:space="preserve">Это снижает необходимост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ь частых проверок и упрощает расчеты, сохраняя при этом принцип компенсации за негативное воздействие.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Органам местного самоуправления предоставляется право требовать </w:t>
        <w:br/>
        <w:t xml:space="preserve">от собственников объектов систем горячего водоснабжения приостановить их вывод </w:t>
        <w:br/>
        <w:t xml:space="preserve">из эксплуатации (консервацию или ликвидацию), если это создает угрозу дефицита горячей воды.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 случае досрочного прекращения деятельности гарантирующей организации </w:t>
        <w:br/>
        <w:t xml:space="preserve">в период особого режима, новая организация, получившая этот статус, вправе в течение 180 дней применять тарифы, установленные для предыдущей организации. 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сполнителю (организации ВКХ) предоставляется право приостановить реализацию мероприятий по подключению (технологическому присоединению) объектов, при этом срок подключения по договору продлевается на 30 дней. Также приостанавливаются отдельные требования к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процедуре подключения.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Приостана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вливается обязанность по опубликованию схем водоснабжения </w:t>
        <w:br/>
        <w:t xml:space="preserve">и водоотведения для муниципальных образований на территориях с особыми режимами, </w:t>
        <w:br/>
        <w:t xml:space="preserve">что снижает нагрузку на органы местного самоуправления в условиях, когда приоритетом является оперативное управлени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е.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Проект разработан в связи с необходимостью оперативного реагирования </w:t>
        <w:br/>
        <w:t xml:space="preserve">на изменение обстановки в регионах. Действующее регулирование не учитывает специфику функционирования коммунального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комплекса в периоды военных действий, террористических угроз или масштабных чрезвычайных ситуаций, что может привести </w:t>
        <w:br/>
        <w:t xml:space="preserve">к сбоям в работе инфраструктуры.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Принятие проекта постановления позволит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обеспечить гарантированное </w:t>
        <w:br/>
        <w:t xml:space="preserve">и бесперебойное водоснабжение населения и социально значимых объектов в условиях особых режимов, с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низить риски банкротства организаций ВКХ из-за невозможности исполнения отдельных требований законодательства,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предотвратить ростом платежей </w:t>
        <w:br/>
        <w:t xml:space="preserve">за негативное воздействие,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упростить административные процедуры для организаций ВКХ.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Принятие проекта постановления не приведет к дополнительным расходам федерального бюджета.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pStyle w:val="881"/>
        <w:ind w:firstLine="567"/>
        <w:jc w:val="both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содержит обя</w:t>
      </w:r>
      <w:r>
        <w:rPr>
          <w:rFonts w:ascii="Times New Roman" w:hAnsi="Times New Roman"/>
          <w:sz w:val="28"/>
          <w:szCs w:val="28"/>
        </w:rPr>
        <w:t xml:space="preserve">зательны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соответствие котор</w:t>
      </w:r>
      <w:r>
        <w:rPr>
          <w:rFonts w:ascii="Times New Roman" w:hAnsi="Times New Roman"/>
          <w:sz w:val="28"/>
          <w:szCs w:val="28"/>
        </w:rPr>
        <w:t xml:space="preserve">ым проверяется при выдаче разрешений, лицензий, аттестатов аккредитации, иных документов, имеющих разрешительный характер. Реализация предлагаемых проектом постановления решений не повлияет на достижение целей государственных программ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не содержит положений, противоречащих 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64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отсутствуют.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567" w:right="567" w:bottom="1247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859"/>
    <w:link w:val="858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7"/>
    <w:next w:val="857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9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9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9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9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9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9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9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9"/>
    <w:link w:val="864"/>
    <w:uiPriority w:val="99"/>
  </w:style>
  <w:style w:type="character" w:styleId="711">
    <w:name w:val="Footer Char"/>
    <w:basedOn w:val="859"/>
    <w:link w:val="869"/>
    <w:uiPriority w:val="99"/>
  </w:style>
  <w:style w:type="paragraph" w:styleId="712">
    <w:name w:val="Caption"/>
    <w:basedOn w:val="857"/>
    <w:next w:val="857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59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9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9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58">
    <w:name w:val="Heading 1"/>
    <w:basedOn w:val="857"/>
    <w:next w:val="857"/>
    <w:link w:val="86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Заголовок 1 Знак"/>
    <w:basedOn w:val="859"/>
    <w:link w:val="858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3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64">
    <w:name w:val="Header"/>
    <w:basedOn w:val="857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9"/>
    <w:link w:val="864"/>
    <w:uiPriority w:val="99"/>
    <w:rPr>
      <w:rFonts w:ascii="Calibri" w:hAnsi="Calibri" w:eastAsia="Times New Roman" w:cs="Times New Roman"/>
      <w:lang w:eastAsia="ru-RU"/>
    </w:rPr>
  </w:style>
  <w:style w:type="paragraph" w:styleId="866">
    <w:name w:val="List Paragraph"/>
    <w:basedOn w:val="857"/>
    <w:uiPriority w:val="34"/>
    <w:qFormat/>
    <w:pPr>
      <w:contextualSpacing/>
      <w:ind w:left="720"/>
    </w:pPr>
  </w:style>
  <w:style w:type="paragraph" w:styleId="86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9">
    <w:name w:val="Footer"/>
    <w:basedOn w:val="857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9"/>
    <w:link w:val="869"/>
    <w:uiPriority w:val="99"/>
    <w:rPr>
      <w:rFonts w:ascii="Calibri" w:hAnsi="Calibri" w:eastAsia="Times New Roman" w:cs="Times New Roman"/>
      <w:lang w:eastAsia="ru-RU"/>
    </w:rPr>
  </w:style>
  <w:style w:type="paragraph" w:styleId="871">
    <w:name w:val="Balloon Text"/>
    <w:basedOn w:val="857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859"/>
    <w:link w:val="87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73">
    <w:name w:val="annotation reference"/>
    <w:basedOn w:val="859"/>
    <w:uiPriority w:val="99"/>
    <w:semiHidden/>
    <w:unhideWhenUsed/>
    <w:rPr>
      <w:sz w:val="16"/>
      <w:szCs w:val="16"/>
    </w:rPr>
  </w:style>
  <w:style w:type="paragraph" w:styleId="874">
    <w:name w:val="annotation text"/>
    <w:basedOn w:val="857"/>
    <w:link w:val="875"/>
    <w:uiPriority w:val="99"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859"/>
    <w:link w:val="874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876">
    <w:name w:val="Hyperlink"/>
    <w:basedOn w:val="859"/>
    <w:uiPriority w:val="99"/>
    <w:unhideWhenUsed/>
    <w:rPr>
      <w:color w:val="0563c1" w:themeColor="hyperlink"/>
      <w:u w:val="single"/>
    </w:rPr>
  </w:style>
  <w:style w:type="paragraph" w:styleId="877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8">
    <w:name w:val="Revision"/>
    <w:hidden/>
    <w:uiPriority w:val="99"/>
    <w:semiHidden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9">
    <w:name w:val="annotation subject"/>
    <w:basedOn w:val="874"/>
    <w:next w:val="874"/>
    <w:link w:val="880"/>
    <w:uiPriority w:val="99"/>
    <w:semiHidden/>
    <w:unhideWhenUsed/>
    <w:rPr>
      <w:b/>
      <w:bCs/>
    </w:rPr>
  </w:style>
  <w:style w:type="character" w:styleId="880" w:customStyle="1">
    <w:name w:val="Тема примечания Знак"/>
    <w:basedOn w:val="875"/>
    <w:link w:val="879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81">
    <w:name w:val="Plain Text"/>
    <w:basedOn w:val="857"/>
    <w:link w:val="882"/>
    <w:uiPriority w:val="99"/>
    <w:semiHidden/>
    <w:unhideWhenUsed/>
    <w:pPr>
      <w:spacing w:after="0" w:line="240" w:lineRule="auto"/>
    </w:pPr>
    <w:rPr>
      <w:rFonts w:eastAsiaTheme="minorHAnsi"/>
      <w:lang w:eastAsia="en-US"/>
    </w:rPr>
  </w:style>
  <w:style w:type="character" w:styleId="882" w:customStyle="1">
    <w:name w:val="Текст Знак"/>
    <w:basedOn w:val="859"/>
    <w:link w:val="881"/>
    <w:uiPriority w:val="99"/>
    <w:semiHidden/>
    <w:rPr>
      <w:rFonts w:ascii="Calibri" w:hAnsi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Будницкий Дмитрий</dc:creator>
  <cp:keywords/>
  <dc:description/>
  <cp:lastModifiedBy>mariya.dorosh</cp:lastModifiedBy>
  <cp:revision>35</cp:revision>
  <dcterms:created xsi:type="dcterms:W3CDTF">2025-09-25T11:15:00Z</dcterms:created>
  <dcterms:modified xsi:type="dcterms:W3CDTF">2026-03-02T08:12:02Z</dcterms:modified>
</cp:coreProperties>
</file>