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2190" w:leader="none"/>
        </w:tabs>
        <w:rPr>
          <w:rFonts w:ascii="Times New Roman" w:hAnsi="Times New Roman"/>
          <w:b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Theme="minorHAns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/>
          <w:b/>
          <w:sz w:val="28"/>
          <w:szCs w:val="28"/>
        </w:rPr>
        <w:br/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 в некоторые акты Правительства Российской Федерации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 w:eastAsiaTheme="minorHAnsi"/>
          <w:b/>
          <w:sz w:val="28"/>
          <w:szCs w:val="28"/>
        </w:rPr>
      </w:r>
      <w:r>
        <w:rPr>
          <w:rFonts w:ascii="Times New Roman" w:hAnsi="Times New Roman" w:eastAsiaTheme="minorHAnsi"/>
          <w:b/>
          <w:sz w:val="28"/>
          <w:szCs w:val="28"/>
        </w:rPr>
      </w:r>
    </w:p>
    <w:p>
      <w:pPr>
        <w:jc w:val="center"/>
        <w:spacing w:after="0" w:line="240" w:lineRule="auto"/>
        <w:tabs>
          <w:tab w:val="left" w:pos="219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Проект постановления Правительства Российской Федерации</w:t>
      </w:r>
      <w:r>
        <w:rPr>
          <w:rFonts w:ascii="Times New Roman" w:hAnsi="Times New Roman"/>
          <w:spacing w:val="-6"/>
          <w:sz w:val="28"/>
          <w:szCs w:val="28"/>
        </w:rPr>
        <w:t xml:space="preserve"> «</w:t>
      </w:r>
      <w:r>
        <w:rPr>
          <w:rFonts w:ascii="Times New Roman" w:hAnsi="Times New Roman"/>
          <w:spacing w:val="-6"/>
          <w:sz w:val="28"/>
          <w:szCs w:val="28"/>
        </w:rPr>
        <w:t xml:space="preserve">О внесении изменений в некоторые акты Правительства Российской Федерации» </w:t>
      </w:r>
      <w:r>
        <w:rPr>
          <w:rFonts w:ascii="Times New Roman" w:hAnsi="Times New Roman"/>
          <w:spacing w:val="-6"/>
          <w:sz w:val="28"/>
          <w:szCs w:val="28"/>
        </w:rPr>
        <w:t xml:space="preserve">(далее </w:t>
      </w:r>
      <w:r>
        <w:rPr>
          <w:rFonts w:ascii="Times New Roman" w:hAnsi="Times New Roman"/>
          <w:spacing w:val="-6"/>
          <w:sz w:val="28"/>
          <w:szCs w:val="28"/>
        </w:rPr>
        <w:t xml:space="preserve">-</w:t>
      </w:r>
      <w:r>
        <w:rPr>
          <w:rFonts w:ascii="Times New Roman" w:hAnsi="Times New Roman"/>
          <w:spacing w:val="-6"/>
          <w:sz w:val="28"/>
          <w:szCs w:val="28"/>
        </w:rPr>
        <w:t xml:space="preserve"> проект </w:t>
      </w:r>
      <w:r>
        <w:rPr>
          <w:rFonts w:ascii="Times New Roman" w:hAnsi="Times New Roman"/>
          <w:spacing w:val="-6"/>
          <w:sz w:val="28"/>
          <w:szCs w:val="28"/>
        </w:rPr>
        <w:t xml:space="preserve">постановления, проект акта</w:t>
      </w:r>
      <w:r>
        <w:rPr>
          <w:rFonts w:ascii="Times New Roman" w:hAnsi="Times New Roman"/>
          <w:spacing w:val="-6"/>
          <w:sz w:val="28"/>
          <w:szCs w:val="28"/>
        </w:rPr>
        <w:t xml:space="preserve">) разработан </w:t>
      </w:r>
      <w:r>
        <w:rPr>
          <w:rFonts w:ascii="Times New Roman" w:hAnsi="Times New Roman"/>
          <w:spacing w:val="-6"/>
          <w:sz w:val="28"/>
          <w:szCs w:val="28"/>
        </w:rPr>
        <w:t xml:space="preserve">во исполнение пункта 6 поручения Правительства Российской Федерации от 6 марта 2026 г. № МХ-П49-7385</w:t>
      </w:r>
      <w:r>
        <w:rPr>
          <w:rFonts w:ascii="Times New Roman" w:hAnsi="Times New Roman"/>
          <w:spacing w:val="-6"/>
          <w:sz w:val="28"/>
          <w:szCs w:val="28"/>
        </w:rPr>
        <w:t xml:space="preserve"> в целях совершенствования критериев отнесения владельцев сетей водоснабжения и водоотведения к транзитным организациям в целях укрупнения регулируемых организаций, что повлечет повышения качества и надежности водоснабжения </w:t>
        <w:br/>
        <w:t xml:space="preserve">и водоотведения населения. 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Российской Федерации проводит последовательную политику </w:t>
      </w:r>
      <w:r>
        <w:rPr>
          <w:rFonts w:ascii="Times New Roman" w:hAnsi="Times New Roman"/>
          <w:sz w:val="28"/>
          <w:szCs w:val="28"/>
        </w:rPr>
        <w:t xml:space="preserve">консолидации </w:t>
      </w:r>
      <w:r>
        <w:rPr>
          <w:rFonts w:ascii="Times New Roman" w:hAnsi="Times New Roman"/>
          <w:sz w:val="28"/>
          <w:szCs w:val="28"/>
        </w:rPr>
        <w:t xml:space="preserve">централизованных систем водоснабжения и водоотведения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</w:t>
      </w:r>
      <w:r>
        <w:rPr>
          <w:rFonts w:ascii="Times New Roman" w:hAnsi="Times New Roman"/>
          <w:sz w:val="28"/>
          <w:szCs w:val="28"/>
        </w:rPr>
        <w:t xml:space="preserve"> предотвращения эксплуатации </w:t>
      </w:r>
      <w:r>
        <w:rPr>
          <w:rFonts w:ascii="Times New Roman" w:hAnsi="Times New Roman"/>
          <w:sz w:val="28"/>
          <w:szCs w:val="28"/>
        </w:rPr>
        <w:t xml:space="preserve">отдельны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 xml:space="preserve">ов таких систем </w:t>
      </w:r>
      <w:r>
        <w:rPr>
          <w:rFonts w:ascii="Times New Roman" w:hAnsi="Times New Roman"/>
          <w:sz w:val="28"/>
          <w:szCs w:val="28"/>
        </w:rPr>
        <w:t xml:space="preserve">различными транзитными организациями</w:t>
      </w:r>
      <w:r>
        <w:rPr>
          <w:rFonts w:ascii="Times New Roman" w:hAnsi="Times New Roman"/>
          <w:sz w:val="28"/>
          <w:szCs w:val="28"/>
        </w:rPr>
        <w:t xml:space="preserve">, оплата услуг которых по транспортировке воды </w:t>
        <w:br/>
        <w:t xml:space="preserve">и сточных вод учитывается в тарифе гарантирующих организаций, сокращая тем самым инвестиционные ресурсы на модернизацию</w:t>
      </w:r>
      <w:r>
        <w:rPr>
          <w:rFonts w:ascii="Times New Roman" w:hAnsi="Times New Roman"/>
          <w:sz w:val="28"/>
          <w:szCs w:val="28"/>
        </w:rPr>
        <w:t xml:space="preserve"> объектов водоснабжения </w:t>
        <w:br/>
        <w:t xml:space="preserve">и водоотведения, в том числе водопроводны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и канализационны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очистны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сооружени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.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>
        <w:rPr>
          <w:rFonts w:ascii="Times New Roman" w:hAnsi="Times New Roman"/>
          <w:sz w:val="28"/>
          <w:szCs w:val="28"/>
        </w:rPr>
        <w:t xml:space="preserve">в 2019 году </w:t>
      </w:r>
      <w:r>
        <w:rPr>
          <w:rFonts w:ascii="Times New Roman" w:hAnsi="Times New Roman"/>
          <w:sz w:val="28"/>
          <w:szCs w:val="28"/>
        </w:rPr>
        <w:t xml:space="preserve">были </w:t>
      </w:r>
      <w:r>
        <w:rPr>
          <w:rFonts w:ascii="Times New Roman" w:hAnsi="Times New Roman"/>
          <w:sz w:val="28"/>
          <w:szCs w:val="28"/>
        </w:rPr>
        <w:t xml:space="preserve">приняты изменения, </w:t>
      </w:r>
      <w:r>
        <w:rPr>
          <w:rFonts w:ascii="Times New Roman" w:hAnsi="Times New Roman"/>
          <w:sz w:val="28"/>
          <w:szCs w:val="28"/>
        </w:rPr>
        <w:t xml:space="preserve">согласно которым </w:t>
      </w:r>
      <w:r>
        <w:rPr>
          <w:rFonts w:ascii="Times New Roman" w:hAnsi="Times New Roman"/>
          <w:sz w:val="28"/>
          <w:szCs w:val="28"/>
        </w:rPr>
        <w:t xml:space="preserve">тарифы </w:t>
        <w:br/>
        <w:t xml:space="preserve">на транспортировку воды и сточных вод для «малых» транзитных организаций </w:t>
        <w:br/>
        <w:t xml:space="preserve">с протяженностью сетей не более 10 км устанавливаются </w:t>
      </w:r>
      <w:r>
        <w:rPr>
          <w:rFonts w:ascii="Times New Roman" w:hAnsi="Times New Roman"/>
          <w:sz w:val="28"/>
          <w:szCs w:val="28"/>
        </w:rPr>
        <w:t xml:space="preserve">исключительно </w:t>
      </w:r>
      <w:r>
        <w:rPr>
          <w:rFonts w:ascii="Times New Roman" w:hAnsi="Times New Roman"/>
          <w:sz w:val="28"/>
          <w:szCs w:val="28"/>
        </w:rPr>
        <w:t xml:space="preserve">методом сравнения аналогов на основании удельных текущих расходов гарантирующ</w:t>
      </w:r>
      <w:r>
        <w:rPr>
          <w:rFonts w:ascii="Times New Roman" w:hAnsi="Times New Roman"/>
          <w:sz w:val="28"/>
          <w:szCs w:val="28"/>
        </w:rPr>
        <w:t xml:space="preserve">их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(постановление Правительства Российской Федерации от 4 июля 2019 г. </w:t>
      </w:r>
      <w:r>
        <w:rPr>
          <w:rFonts w:ascii="Times New Roman" w:hAnsi="Times New Roman"/>
          <w:sz w:val="28"/>
          <w:szCs w:val="28"/>
        </w:rPr>
        <w:t xml:space="preserve"> № 855 «О внесении изменений в постановление Правител</w:t>
      </w:r>
      <w:r>
        <w:rPr>
          <w:rFonts w:ascii="Times New Roman" w:hAnsi="Times New Roman"/>
          <w:sz w:val="28"/>
          <w:szCs w:val="28"/>
        </w:rPr>
        <w:t xml:space="preserve">ьства РФ от 13 мая 2013 г. № 406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 Кроме того, введены критерии отнесения собственников и иных законных владельцев сетей и </w:t>
      </w:r>
      <w:r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сооружений на них к транзитным организациям, </w:t>
        <w:br/>
      </w:r>
      <w:r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соответстви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которым </w:t>
      </w:r>
      <w:r>
        <w:rPr>
          <w:rFonts w:ascii="Times New Roman" w:hAnsi="Times New Roman"/>
          <w:sz w:val="28"/>
          <w:szCs w:val="28"/>
        </w:rPr>
        <w:t xml:space="preserve">с 1 сентября 2022 г.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ожет быть установлен </w:t>
      </w:r>
      <w:r>
        <w:rPr>
          <w:rFonts w:ascii="Times New Roman" w:hAnsi="Times New Roman"/>
          <w:sz w:val="28"/>
          <w:szCs w:val="28"/>
        </w:rPr>
        <w:t xml:space="preserve">тариф </w:t>
        <w:br/>
      </w:r>
      <w:r>
        <w:rPr>
          <w:rFonts w:ascii="Times New Roman" w:hAnsi="Times New Roman"/>
          <w:sz w:val="28"/>
          <w:szCs w:val="28"/>
        </w:rPr>
        <w:t xml:space="preserve">на транспортировку воды и (или) сточных вод</w:t>
      </w:r>
      <w:r>
        <w:rPr>
          <w:rFonts w:ascii="Times New Roman" w:hAnsi="Times New Roman"/>
          <w:sz w:val="28"/>
          <w:szCs w:val="28"/>
        </w:rPr>
        <w:t xml:space="preserve"> (п</w:t>
      </w:r>
      <w:r>
        <w:rPr>
          <w:rFonts w:ascii="Times New Roman" w:hAnsi="Times New Roman"/>
          <w:sz w:val="28"/>
          <w:szCs w:val="28"/>
        </w:rPr>
        <w:t xml:space="preserve">остановление Правительства </w:t>
      </w:r>
      <w:r>
        <w:rPr>
          <w:rFonts w:ascii="Times New Roman" w:hAnsi="Times New Roman"/>
          <w:sz w:val="28"/>
          <w:szCs w:val="28"/>
        </w:rPr>
        <w:t xml:space="preserve">Российской Федерации от 23 ноября </w:t>
      </w:r>
      <w:r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 xml:space="preserve">г. №</w:t>
      </w:r>
      <w:r>
        <w:rPr>
          <w:rFonts w:ascii="Times New Roman" w:hAnsi="Times New Roman"/>
          <w:sz w:val="28"/>
          <w:szCs w:val="28"/>
        </w:rPr>
        <w:t xml:space="preserve"> 2009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</w:t>
        <w:br/>
        <w:t xml:space="preserve">в некоторые акты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»)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введенные критерии отнесения собственников или иных законных владельцев водопроводных и (или) канализационных сетей и (или) сооружений на них к транзитным организациям оказались недостаточными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  <w:br/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ак показала практика, реального сокращения числа непрофессиональных участников рынка, особенно в крупных города</w:t>
      </w:r>
      <w:r>
        <w:rPr>
          <w:rFonts w:ascii="Times New Roman" w:hAnsi="Times New Roman"/>
          <w:sz w:val="28"/>
          <w:szCs w:val="28"/>
        </w:rPr>
        <w:t xml:space="preserve">х,</w:t>
      </w:r>
      <w:r>
        <w:rPr>
          <w:rFonts w:ascii="Times New Roman" w:hAnsi="Times New Roman"/>
          <w:sz w:val="28"/>
          <w:szCs w:val="28"/>
        </w:rPr>
        <w:t xml:space="preserve"> не произошло. Проведенный </w:t>
        <w:br/>
        <w:t xml:space="preserve">ФАС России в 2023 г. анализ применения критериев отнесения к транзитным организациям показал существенное сокращение транзитных организаций только </w:t>
        <w:br/>
        <w:t xml:space="preserve">в 11 субъектах Российской Федерации, в остальных субъектах Российской Федерации </w:t>
      </w:r>
      <w:r>
        <w:rPr>
          <w:rFonts w:ascii="Times New Roman" w:hAnsi="Times New Roman"/>
          <w:sz w:val="28"/>
          <w:szCs w:val="28"/>
        </w:rPr>
        <w:t xml:space="preserve">значительного уменьшения </w:t>
      </w:r>
      <w:r>
        <w:rPr>
          <w:rFonts w:ascii="Times New Roman" w:hAnsi="Times New Roman"/>
          <w:sz w:val="28"/>
          <w:szCs w:val="28"/>
        </w:rPr>
        <w:t xml:space="preserve">числ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транзитных организаций не произошло.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даже </w:t>
      </w:r>
      <w:r>
        <w:rPr>
          <w:rFonts w:ascii="Times New Roman" w:hAnsi="Times New Roman"/>
          <w:sz w:val="28"/>
          <w:szCs w:val="28"/>
        </w:rPr>
        <w:t xml:space="preserve">в тех случаях, когда количество транзитных организаций </w:t>
      </w:r>
      <w:r>
        <w:rPr>
          <w:rFonts w:ascii="Times New Roman" w:hAnsi="Times New Roman"/>
          <w:sz w:val="28"/>
          <w:szCs w:val="28"/>
        </w:rPr>
        <w:t xml:space="preserve">формально</w:t>
      </w:r>
      <w:r>
        <w:rPr>
          <w:rFonts w:ascii="Times New Roman" w:hAnsi="Times New Roman"/>
          <w:sz w:val="28"/>
          <w:szCs w:val="28"/>
        </w:rPr>
        <w:t xml:space="preserve"> уменьшилось</w:t>
      </w:r>
      <w:r>
        <w:rPr>
          <w:rFonts w:ascii="Times New Roman" w:hAnsi="Times New Roman"/>
          <w:sz w:val="28"/>
          <w:szCs w:val="28"/>
        </w:rPr>
        <w:t xml:space="preserve">, расходы гарантирующих организаций на оплату услуг </w:t>
      </w:r>
      <w:r>
        <w:rPr>
          <w:rFonts w:ascii="Times New Roman" w:hAnsi="Times New Roman"/>
          <w:sz w:val="28"/>
          <w:szCs w:val="28"/>
        </w:rPr>
        <w:t xml:space="preserve">транзитных организаций, сохранивших статус, не только не сократились, но </w:t>
      </w:r>
      <w:r>
        <w:rPr>
          <w:rFonts w:ascii="Times New Roman" w:hAnsi="Times New Roman"/>
          <w:sz w:val="28"/>
          <w:szCs w:val="28"/>
        </w:rPr>
        <w:t xml:space="preserve">выросли и </w:t>
      </w:r>
      <w:r>
        <w:rPr>
          <w:rFonts w:ascii="Times New Roman" w:hAnsi="Times New Roman"/>
          <w:sz w:val="28"/>
          <w:szCs w:val="28"/>
        </w:rPr>
        <w:t xml:space="preserve">продолжают расти.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по информации двух крупнейших частных операторов в сфере водоснабжения и водоотведения, ООО «РКС-Холдинг» и ООО УК </w:t>
      </w:r>
      <w:r>
        <w:rPr>
          <w:rFonts w:ascii="Times New Roman" w:hAnsi="Times New Roman"/>
          <w:sz w:val="28"/>
          <w:szCs w:val="28"/>
        </w:rPr>
        <w:t xml:space="preserve">«РОСВОДОКАНАЛ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общие расходы компаний </w:t>
      </w:r>
      <w:r>
        <w:rPr>
          <w:rFonts w:ascii="Times New Roman" w:hAnsi="Times New Roman"/>
          <w:sz w:val="28"/>
          <w:szCs w:val="28"/>
        </w:rPr>
        <w:t xml:space="preserve">группы РКС </w:t>
      </w:r>
      <w:r>
        <w:rPr>
          <w:rFonts w:ascii="Times New Roman" w:hAnsi="Times New Roman"/>
          <w:sz w:val="28"/>
          <w:szCs w:val="28"/>
        </w:rPr>
        <w:t xml:space="preserve">– гарантирующих организаций </w:t>
      </w:r>
      <w:r>
        <w:rPr>
          <w:rFonts w:ascii="Times New Roman" w:hAnsi="Times New Roman"/>
          <w:sz w:val="28"/>
          <w:szCs w:val="28"/>
        </w:rPr>
        <w:t xml:space="preserve">на оплату услуг транзитных организаций по транспортировке воды </w:t>
        <w:br/>
        <w:t xml:space="preserve">и сточных вод за период </w:t>
      </w:r>
      <w:r>
        <w:rPr>
          <w:rFonts w:ascii="Times New Roman" w:hAnsi="Times New Roman"/>
          <w:sz w:val="28"/>
          <w:szCs w:val="28"/>
        </w:rPr>
        <w:t xml:space="preserve">с 2021 по 2024 гг. </w:t>
      </w:r>
      <w:r>
        <w:rPr>
          <w:rFonts w:ascii="Times New Roman" w:hAnsi="Times New Roman"/>
          <w:sz w:val="28"/>
          <w:szCs w:val="28"/>
        </w:rPr>
        <w:t xml:space="preserve">выросли на 355 млн. руб. с 487 </w:t>
      </w:r>
      <w:r>
        <w:rPr>
          <w:rFonts w:ascii="Times New Roman" w:hAnsi="Times New Roman"/>
          <w:sz w:val="28"/>
          <w:szCs w:val="28"/>
        </w:rPr>
        <w:t xml:space="preserve">млн руб. </w:t>
        <w:br/>
        <w:t xml:space="preserve">до 842 млн руб., </w:t>
      </w:r>
      <w:r>
        <w:rPr>
          <w:rFonts w:ascii="Times New Roman" w:hAnsi="Times New Roman"/>
          <w:sz w:val="28"/>
          <w:szCs w:val="28"/>
        </w:rPr>
        <w:t xml:space="preserve">аналогичные </w:t>
      </w:r>
      <w:r>
        <w:rPr>
          <w:rFonts w:ascii="Times New Roman" w:hAnsi="Times New Roman"/>
          <w:sz w:val="28"/>
          <w:szCs w:val="28"/>
        </w:rPr>
        <w:t xml:space="preserve">расходы компаний </w:t>
      </w:r>
      <w:r>
        <w:rPr>
          <w:rFonts w:ascii="Times New Roman" w:hAnsi="Times New Roman"/>
          <w:sz w:val="28"/>
          <w:szCs w:val="28"/>
        </w:rPr>
        <w:t xml:space="preserve">ГК «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ОСВОДОКАНАЛ»</w:t>
      </w:r>
      <w:r>
        <w:rPr>
          <w:rFonts w:ascii="Times New Roman" w:hAnsi="Times New Roman"/>
          <w:sz w:val="28"/>
          <w:szCs w:val="28"/>
        </w:rPr>
        <w:t xml:space="preserve"> только </w:t>
        <w:br/>
        <w:t xml:space="preserve">за период с 2023 по 2024 гг. выросли на 172 млн. руб. и составили 916 млн. руб. </w:t>
        <w:br/>
        <w:t xml:space="preserve">В среднем, доля расходов на оплату услуг транзитных организаций составляет порядка 4 процентов в необходимой валовой выручке гарантирующ</w:t>
      </w:r>
      <w:r>
        <w:rPr>
          <w:rFonts w:ascii="Times New Roman" w:hAnsi="Times New Roman"/>
          <w:sz w:val="28"/>
          <w:szCs w:val="28"/>
        </w:rPr>
        <w:t xml:space="preserve">их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Theme="minorHAnsi"/>
          <w:sz w:val="28"/>
          <w:szCs w:val="28"/>
        </w:rPr>
        <w:t xml:space="preserve">одн</w:t>
      </w:r>
      <w:r>
        <w:rPr>
          <w:rFonts w:ascii="Times New Roman" w:hAnsi="Times New Roman" w:eastAsiaTheme="minorHAnsi"/>
          <w:sz w:val="28"/>
          <w:szCs w:val="28"/>
        </w:rPr>
        <w:t xml:space="preserve">а</w:t>
      </w:r>
      <w:r>
        <w:rPr>
          <w:rFonts w:ascii="Times New Roman" w:hAnsi="Times New Roman" w:eastAsiaTheme="minorHAnsi"/>
          <w:sz w:val="28"/>
          <w:szCs w:val="28"/>
        </w:rPr>
        <w:t xml:space="preserve">ко в отдельных муниципальных образованиях такая доля может составлять </w:t>
        <w:br/>
        <w:t xml:space="preserve">до 20%, при этом ежегодная стоимость услуг транзитных организаций сопоставима с размером производственной или инвестиционной программы гарантирующей организации на соответствующий год. </w:t>
      </w: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примеру, плата ООО «Самарские коммунальные системы» (гарантирующая организация в городском округе Самара) транзитным организациям в 2024 году составила 681 млн руб., что сопоставимо с объемом</w:t>
      </w:r>
      <w:r>
        <w:rPr>
          <w:rFonts w:ascii="Times New Roman" w:hAnsi="Times New Roman"/>
          <w:bCs/>
          <w:sz w:val="28"/>
          <w:szCs w:val="28"/>
        </w:rPr>
        <w:t xml:space="preserve"> производственной программы гарантирующей организации – 694 млн. руб. Прогнозируемая в 2025 г. общая сумма платежей Общества транзитным организациям – 696 млн. руб., уже превысит объем производственной программы, которая на 2025 г. составляет 665 млн. руб.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случае, если бы объем средств, который сейчас ежегодно направляется </w:t>
        <w:br/>
        <w:t xml:space="preserve">ООО «Самарские коммунальные системы» на оплату услуг по транспортировке воды и сточн</w:t>
      </w:r>
      <w:r>
        <w:rPr>
          <w:rFonts w:ascii="Times New Roman" w:hAnsi="Times New Roman"/>
          <w:bCs/>
          <w:sz w:val="28"/>
          <w:szCs w:val="28"/>
        </w:rPr>
        <w:t xml:space="preserve">ых</w:t>
      </w:r>
      <w:r>
        <w:rPr>
          <w:rFonts w:ascii="Times New Roman" w:hAnsi="Times New Roman"/>
          <w:bCs/>
          <w:sz w:val="28"/>
          <w:szCs w:val="28"/>
        </w:rPr>
        <w:t xml:space="preserve"> вод, был направлен на перекладку сетей, то можно было бы переложить </w:t>
        <w:br/>
        <w:t xml:space="preserve">21 км трубы на общую сумму 701 млн. руб., из них: 5 км трубы диаметром 150 мм </w:t>
        <w:br/>
        <w:t xml:space="preserve">на сумму 115 млн., 8 км трубы диаметром 200 мм – 251 млн. руб., 9 км трубы диаметром 300 мм – 335 млн. руб.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Такой рост расходов объясняется тем, что т</w:t>
      </w:r>
      <w:r>
        <w:rPr>
          <w:rFonts w:ascii="Times New Roman" w:hAnsi="Times New Roman"/>
          <w:sz w:val="28"/>
          <w:szCs w:val="28"/>
        </w:rPr>
        <w:t xml:space="preserve">ранзитные организации быстро адаптировались к принятым изменениям и стали укрупняться, в том числе путем получения сетей в аренду, а также приобретения их у собственников, </w:t>
        <w:br/>
        <w:t xml:space="preserve">не соответствующих установленным критериям. </w:t>
      </w:r>
      <w:r>
        <w:rPr>
          <w:rFonts w:ascii="Times New Roman" w:hAnsi="Times New Roman"/>
          <w:sz w:val="28"/>
          <w:szCs w:val="28"/>
        </w:rPr>
        <w:t xml:space="preserve">Оставшиеся на рынке транзитные организации с протяженностью сети более 10 км регулируются методом индексации, который в отличие от метода сравнения аналогов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учитывает удельные расходы гарантирующих организаций по транспортировке воды и (или) сточных вод. </w:t>
        <w:br/>
        <w:t xml:space="preserve">Как следствие, расходы транзитных организаций в расчете на 1 км сети в ряде случаев в три и более раза превышают расходы гарантирующей организации </w:t>
        <w:br/>
        <w:t xml:space="preserve">на транс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ортировку в расчете на 1 км сети. Рост тарифов транзитных организаций </w:t>
        <w:br/>
        <w:t xml:space="preserve">не ограничен предельным индексом роста платы граждан за коммунальные услуги, поэтому стоимость их услуг растет опережающими темпами, значительно превышающими индекс потребительских цен.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Формальное укрупнение транзитных организаций</w:t>
      </w:r>
      <w:r>
        <w:rPr>
          <w:rFonts w:ascii="Times New Roman" w:hAnsi="Times New Roman" w:eastAsiaTheme="minorHAnsi"/>
          <w:sz w:val="28"/>
          <w:szCs w:val="28"/>
        </w:rPr>
        <w:t xml:space="preserve"> в целях соответствия установленным критериям </w:t>
      </w:r>
      <w:r>
        <w:rPr>
          <w:rFonts w:ascii="Times New Roman" w:hAnsi="Times New Roman" w:eastAsiaTheme="minorHAnsi"/>
          <w:sz w:val="28"/>
          <w:szCs w:val="28"/>
        </w:rPr>
        <w:t xml:space="preserve">не привело к повышению качества и надежности их услуг. Такие организации,</w:t>
      </w:r>
      <w:r>
        <w:rPr>
          <w:rFonts w:ascii="Times New Roman" w:hAnsi="Times New Roman" w:eastAsiaTheme="minorHAnsi"/>
          <w:sz w:val="28"/>
          <w:szCs w:val="28"/>
        </w:rPr>
        <w:t xml:space="preserve"> как правило,</w:t>
      </w:r>
      <w:r>
        <w:rPr>
          <w:rFonts w:ascii="Times New Roman" w:hAnsi="Times New Roman" w:eastAsiaTheme="minorHAnsi"/>
          <w:sz w:val="28"/>
          <w:szCs w:val="28"/>
        </w:rPr>
        <w:t xml:space="preserve"> не </w:t>
      </w:r>
      <w:r>
        <w:rPr>
          <w:rFonts w:ascii="Times New Roman" w:hAnsi="Times New Roman" w:eastAsiaTheme="minorHAnsi"/>
          <w:sz w:val="28"/>
          <w:szCs w:val="28"/>
        </w:rPr>
        <w:t xml:space="preserve">имеют </w:t>
      </w:r>
      <w:r>
        <w:rPr>
          <w:rFonts w:ascii="Times New Roman" w:hAnsi="Times New Roman" w:eastAsiaTheme="minorHAnsi"/>
          <w:sz w:val="28"/>
          <w:szCs w:val="28"/>
        </w:rPr>
        <w:t xml:space="preserve">утвержд</w:t>
      </w:r>
      <w:r>
        <w:rPr>
          <w:rFonts w:ascii="Times New Roman" w:hAnsi="Times New Roman" w:eastAsiaTheme="minorHAnsi"/>
          <w:sz w:val="28"/>
          <w:szCs w:val="28"/>
        </w:rPr>
        <w:t xml:space="preserve">енных</w:t>
      </w:r>
      <w:r>
        <w:rPr>
          <w:rFonts w:ascii="Times New Roman" w:hAnsi="Times New Roman" w:eastAsiaTheme="minorHAnsi"/>
          <w:sz w:val="28"/>
          <w:szCs w:val="28"/>
        </w:rPr>
        <w:t xml:space="preserve"> инвестиционны</w:t>
      </w:r>
      <w:r>
        <w:rPr>
          <w:rFonts w:ascii="Times New Roman" w:hAnsi="Times New Roman" w:eastAsiaTheme="minorHAnsi"/>
          <w:sz w:val="28"/>
          <w:szCs w:val="28"/>
        </w:rPr>
        <w:t xml:space="preserve">х</w:t>
      </w:r>
      <w:r>
        <w:rPr>
          <w:rFonts w:ascii="Times New Roman" w:hAnsi="Times New Roman" w:eastAsiaTheme="minorHAnsi"/>
          <w:sz w:val="28"/>
          <w:szCs w:val="28"/>
        </w:rPr>
        <w:t xml:space="preserve"> программ, а их производственные программы носят формальный характер и, как правило, </w:t>
        <w:br/>
        <w:t xml:space="preserve">не содержат мероприятий по капительному ремонту сетей и объектов </w:t>
        <w:br/>
        <w:t xml:space="preserve">на них</w:t>
      </w:r>
      <w:r>
        <w:rPr>
          <w:rFonts w:ascii="Times New Roman" w:hAnsi="Times New Roman" w:eastAsiaTheme="minorHAnsi"/>
          <w:sz w:val="28"/>
          <w:szCs w:val="28"/>
        </w:rPr>
        <w:t xml:space="preserve">.</w:t>
      </w:r>
      <w:r>
        <w:rPr>
          <w:rFonts w:ascii="Times New Roman" w:hAnsi="Times New Roman" w:eastAsiaTheme="minorHAnsi"/>
          <w:sz w:val="28"/>
          <w:szCs w:val="28"/>
        </w:rPr>
        <w:t xml:space="preserve"> Соответственно, эксплуатируемые ими сети не ремонтируются и не перекладываются, при этом за качество, надежность и бесперебойность услуг </w:t>
        <w:br/>
        <w:t xml:space="preserve">по водоснабжению и водоотведению ответственность перед потребителями в полном объеме несет гарантирующая организация.</w:t>
      </w: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Раздробленность централизованных систем</w:t>
      </w:r>
      <w:r>
        <w:rPr>
          <w:rFonts w:ascii="Times New Roman" w:hAnsi="Times New Roman" w:eastAsiaTheme="minorHAnsi"/>
          <w:sz w:val="28"/>
          <w:szCs w:val="28"/>
        </w:rPr>
        <w:t xml:space="preserve"> водоснабжения и водоотведения затрудняет проведение единой технологической и эксплуатационной политики, в том числе внедрение цифровых сервисов, приводит к высоким потерям, низким показателям надежности и качества услуг водоснабжения и водоотведения. Сред</w:t>
      </w:r>
      <w:r>
        <w:rPr>
          <w:rFonts w:ascii="Times New Roman" w:hAnsi="Times New Roman" w:eastAsiaTheme="minorHAnsi"/>
          <w:sz w:val="28"/>
          <w:szCs w:val="28"/>
        </w:rPr>
        <w:t xml:space="preserve">ства, вносимые гражданами за коммунальные услуги, направляются гарантирующими организациями не на реконструкцию и ремонт сетей и иных объектов централизованных систем водоснабжения и водоотведения, а выводятся из отрасли, а зачастую и из экономики в целом.</w:t>
      </w: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right="30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   </w:t>
      </w:r>
      <w:r>
        <w:rPr>
          <w:rFonts w:ascii="Times New Roman" w:hAnsi="Times New Roman" w:eastAsiaTheme="minorHAnsi"/>
          <w:sz w:val="28"/>
          <w:szCs w:val="28"/>
        </w:rPr>
        <w:t xml:space="preserve">Следует отметить, что с</w:t>
      </w:r>
      <w:r>
        <w:rPr>
          <w:rFonts w:ascii="Times New Roman" w:hAnsi="Times New Roman"/>
          <w:sz w:val="28"/>
          <w:szCs w:val="28"/>
        </w:rPr>
        <w:t xml:space="preserve">итуация, связанная с осуществлением деятельности </w:t>
        <w:br/>
        <w:t xml:space="preserve">на рынке водоснабжения и водоотведения большого количества транзитных (сетевых) организаций, противоречит статусу указанного рынка как естественной монополии.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соответствии с ч. 1 ст. 4 Федерального</w:t>
      </w:r>
      <w:r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акона от 17.08.1995 № 147-ФЗ </w:t>
        <w:br/>
        <w:t xml:space="preserve">«О естественных монополиях» (далее – Закон № 147-ФЗ) водоснабжение </w:t>
        <w:br/>
        <w:t xml:space="preserve">и водоотведение с использованием централизованных систем, систем коммунальной инфраструктуры относятся к сферам деятельности субъектов естественной монополии.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Согласно ст. 3 Закона № 147-ФЗ естественная монополия – это состояние товарного рынка, при котором удовлетворение спроса на этом рынке</w:t>
      </w:r>
      <w:r>
        <w:rPr>
          <w:rFonts w:ascii="Times New Roman" w:hAnsi="Times New Roman"/>
          <w:sz w:val="28"/>
          <w:szCs w:val="28"/>
        </w:rPr>
        <w:t xml:space="preserve"> эф</w:t>
      </w:r>
      <w:r>
        <w:rPr>
          <w:rFonts w:ascii="Times New Roman" w:hAnsi="Times New Roman"/>
          <w:sz w:val="28"/>
          <w:szCs w:val="28"/>
        </w:rPr>
        <w:t xml:space="preserve">фективнее </w:t>
        <w:br/>
        <w:t xml:space="preserve">в отсутствие конкуренции в силу технологических особенностей производства </w:t>
        <w:br/>
        <w:t xml:space="preserve">(в связи с существенным понижением издержек производства на единицу товара </w:t>
        <w:br/>
        <w:t xml:space="preserve">по мере увеличения объема производства), а товары, производимые субъектами естественной монопо</w:t>
      </w:r>
      <w:r>
        <w:rPr>
          <w:rFonts w:ascii="Times New Roman" w:hAnsi="Times New Roman"/>
          <w:sz w:val="28"/>
          <w:szCs w:val="28"/>
        </w:rPr>
        <w:t xml:space="preserve">лии, не могут быть заменены в потреблении другими товарами, в связи с чем спрос на данном товарном рынке на товары, производимые субъектами естественных монополий, в меньшей степени зависит от изменения цены на этот товар, чем спрос на другие виды товаров.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Таким образом, действующим законодательством прямо установлено, </w:t>
        <w:br/>
        <w:t xml:space="preserve">что водоснабжение и водоотведение эффективнее в отсутствие конкуренции </w:t>
        <w:br/>
        <w:t xml:space="preserve">на указанных рынках. Наличие одного хоз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йствующего субъекта – гарантирующей организации в рамках одной централизованной системы водоснабжения </w:t>
        <w:br/>
        <w:t xml:space="preserve">и водоотведения, осуществляющей в том числе в полном объеме транспортировку воды и сточных вод, в силу технологических особенностей производства в сфере </w:t>
      </w:r>
      <w:r>
        <w:rPr>
          <w:rFonts w:ascii="Times New Roman" w:hAnsi="Times New Roman"/>
          <w:sz w:val="28"/>
          <w:szCs w:val="28"/>
        </w:rPr>
        <w:t xml:space="preserve">водоснабжения и водоотведения положительно влияет на удовлетворение спроса потребителей, поскольку в этом случае издержки (расходы) на оказание соответствующих услуг минимальны за счет эффекта масштаба.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 Указанная выше проблема большого количества неэффект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ивных территориальных сетевых организаций (далее – ТСО), владеющих разрозненными участками электрических сетей, успешно решается в сфере электроэнергетики, в том числе за счет постоянного ужесточения количественных и качественных критериев отнесения к ТСО </w:t>
      </w:r>
      <w:r>
        <w:rPr>
          <w:rFonts w:ascii="Times New Roman" w:hAnsi="Times New Roman"/>
          <w:bCs/>
          <w:sz w:val="28"/>
          <w:szCs w:val="28"/>
        </w:rPr>
        <w:t xml:space="preserve">в целях консолидации объектов электросетевого хозяйства.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Так, </w:t>
      </w:r>
      <w:r>
        <w:rPr>
          <w:rFonts w:ascii="Times New Roman" w:hAnsi="Times New Roman"/>
          <w:bCs/>
          <w:sz w:val="28"/>
        </w:rPr>
        <w:t xml:space="preserve">постановлением Правительства Российской Федерации от 30</w:t>
      </w:r>
      <w:r>
        <w:rPr>
          <w:rFonts w:ascii="Times New Roman" w:hAnsi="Times New Roman"/>
          <w:bCs/>
          <w:sz w:val="28"/>
        </w:rPr>
        <w:t xml:space="preserve"> апреля </w:t>
      </w:r>
      <w:r>
        <w:rPr>
          <w:rFonts w:ascii="Times New Roman" w:hAnsi="Times New Roman"/>
          <w:bCs/>
          <w:sz w:val="28"/>
        </w:rPr>
        <w:br/>
      </w:r>
      <w:r>
        <w:rPr>
          <w:rFonts w:ascii="Times New Roman" w:hAnsi="Times New Roman"/>
          <w:bCs/>
          <w:sz w:val="28"/>
        </w:rPr>
        <w:t xml:space="preserve">2022</w:t>
      </w:r>
      <w:r>
        <w:rPr>
          <w:rFonts w:ascii="Times New Roman" w:hAnsi="Times New Roman"/>
          <w:bCs/>
          <w:sz w:val="28"/>
        </w:rPr>
        <w:t xml:space="preserve"> г. </w:t>
      </w:r>
      <w:r>
        <w:rPr>
          <w:rFonts w:ascii="Times New Roman" w:hAnsi="Times New Roman"/>
          <w:bCs/>
          <w:sz w:val="28"/>
        </w:rPr>
        <w:t xml:space="preserve">№ 807 внесены изменения </w:t>
      </w:r>
      <w:r>
        <w:rPr>
          <w:rFonts w:ascii="Times New Roman" w:hAnsi="Times New Roman"/>
          <w:bCs/>
          <w:sz w:val="28"/>
        </w:rPr>
        <w:t xml:space="preserve">в </w:t>
      </w:r>
      <w:r>
        <w:rPr>
          <w:rFonts w:ascii="Times New Roman" w:hAnsi="Times New Roman"/>
          <w:bCs/>
          <w:sz w:val="28"/>
        </w:rPr>
        <w:t xml:space="preserve">п</w:t>
      </w:r>
      <w:r>
        <w:rPr>
          <w:rFonts w:ascii="Times New Roman" w:hAnsi="Times New Roman"/>
          <w:bCs/>
          <w:sz w:val="28"/>
        </w:rPr>
        <w:t xml:space="preserve">остановление Правительства Р</w:t>
      </w:r>
      <w:r>
        <w:rPr>
          <w:rFonts w:ascii="Times New Roman" w:hAnsi="Times New Roman"/>
          <w:bCs/>
          <w:sz w:val="28"/>
        </w:rPr>
        <w:t xml:space="preserve">оссийской </w:t>
      </w:r>
      <w:r>
        <w:rPr>
          <w:rFonts w:ascii="Times New Roman" w:hAnsi="Times New Roman"/>
          <w:bCs/>
          <w:sz w:val="28"/>
        </w:rPr>
        <w:t xml:space="preserve">Ф</w:t>
      </w:r>
      <w:r>
        <w:rPr>
          <w:rFonts w:ascii="Times New Roman" w:hAnsi="Times New Roman"/>
          <w:bCs/>
          <w:sz w:val="28"/>
        </w:rPr>
        <w:t xml:space="preserve">едерации</w:t>
      </w:r>
      <w:r>
        <w:rPr>
          <w:rFonts w:ascii="Times New Roman" w:hAnsi="Times New Roman"/>
          <w:bCs/>
          <w:sz w:val="28"/>
        </w:rPr>
        <w:t xml:space="preserve"> от 28</w:t>
      </w:r>
      <w:r>
        <w:rPr>
          <w:rFonts w:ascii="Times New Roman" w:hAnsi="Times New Roman"/>
          <w:bCs/>
          <w:sz w:val="28"/>
        </w:rPr>
        <w:t xml:space="preserve"> февраля </w:t>
      </w:r>
      <w:r>
        <w:rPr>
          <w:rFonts w:ascii="Times New Roman" w:hAnsi="Times New Roman"/>
          <w:bCs/>
          <w:sz w:val="28"/>
        </w:rPr>
        <w:t xml:space="preserve">2015 </w:t>
      </w:r>
      <w:r>
        <w:rPr>
          <w:rFonts w:ascii="Times New Roman" w:hAnsi="Times New Roman"/>
          <w:bCs/>
          <w:sz w:val="28"/>
        </w:rPr>
        <w:t xml:space="preserve">г. </w:t>
      </w:r>
      <w:r>
        <w:rPr>
          <w:rFonts w:ascii="Times New Roman" w:hAnsi="Times New Roman"/>
          <w:bCs/>
          <w:sz w:val="28"/>
        </w:rPr>
        <w:t xml:space="preserve">№</w:t>
      </w:r>
      <w:r>
        <w:rPr>
          <w:rFonts w:ascii="Times New Roman" w:hAnsi="Times New Roman"/>
          <w:bCs/>
          <w:sz w:val="28"/>
        </w:rPr>
        <w:t xml:space="preserve"> 184</w:t>
      </w:r>
      <w:r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«</w:t>
      </w:r>
      <w:r>
        <w:rPr>
          <w:rFonts w:ascii="Times New Roman" w:hAnsi="Times New Roman"/>
          <w:bCs/>
          <w:sz w:val="28"/>
        </w:rPr>
        <w:t xml:space="preserve">Об отнесении владельцев объектов электросетевого хозяйства к территориальным сетевым организациям</w:t>
      </w:r>
      <w:r>
        <w:rPr>
          <w:rFonts w:ascii="Times New Roman" w:hAnsi="Times New Roman"/>
          <w:bCs/>
          <w:sz w:val="28"/>
        </w:rPr>
        <w:t xml:space="preserve">»</w:t>
      </w:r>
      <w:r>
        <w:rPr>
          <w:rFonts w:ascii="Times New Roman" w:hAnsi="Times New Roman"/>
          <w:bCs/>
          <w:sz w:val="28"/>
        </w:rPr>
        <w:t xml:space="preserve"> в части установления новых гораздо более жестких количественных и качественных </w:t>
      </w:r>
      <w:r>
        <w:rPr>
          <w:rFonts w:ascii="Times New Roman" w:hAnsi="Times New Roman"/>
          <w:bCs/>
          <w:sz w:val="28"/>
        </w:rPr>
        <w:t xml:space="preserve">критери</w:t>
      </w:r>
      <w:r>
        <w:rPr>
          <w:rFonts w:ascii="Times New Roman" w:hAnsi="Times New Roman"/>
          <w:bCs/>
          <w:sz w:val="28"/>
        </w:rPr>
        <w:t xml:space="preserve">ев</w:t>
      </w:r>
      <w:r>
        <w:rPr>
          <w:rFonts w:ascii="Times New Roman" w:hAnsi="Times New Roman"/>
          <w:bCs/>
          <w:sz w:val="28"/>
        </w:rPr>
        <w:t xml:space="preserve"> отнесения владельцев объектов электросетевого хозяйства к ТСО</w:t>
      </w:r>
      <w:r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(</w:t>
      </w:r>
      <w:r>
        <w:rPr>
          <w:rFonts w:ascii="Times New Roman" w:hAnsi="Times New Roman"/>
          <w:bCs/>
          <w:sz w:val="28"/>
        </w:rPr>
        <w:t xml:space="preserve">применительно к отношениям, связанным с установлением (пересмотром) цен (тарифов) на услуги по передаче электрической энергии на 2025 год и последующие расчетные периоды регулирования</w:t>
      </w:r>
      <w:r>
        <w:rPr>
          <w:rFonts w:ascii="Times New Roman" w:hAnsi="Times New Roman"/>
          <w:bCs/>
          <w:sz w:val="28"/>
        </w:rPr>
        <w:t xml:space="preserve"> в</w:t>
      </w:r>
      <w:r>
        <w:rPr>
          <w:rFonts w:ascii="Times New Roman" w:hAnsi="Times New Roman"/>
          <w:bCs/>
          <w:sz w:val="28"/>
        </w:rPr>
        <w:t xml:space="preserve">ладение на праве собственности и (или) на ином законном основании</w:t>
      </w:r>
      <w:r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линиями электропередачи</w:t>
      </w:r>
      <w:r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не менее 300 км</w:t>
      </w:r>
      <w:r>
        <w:rPr>
          <w:rFonts w:ascii="Times New Roman" w:hAnsi="Times New Roman"/>
          <w:bCs/>
          <w:sz w:val="28"/>
        </w:rPr>
        <w:t xml:space="preserve">).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jc w:val="both"/>
        <w:spacing w:after="0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При этом при определении соответствия владельцев объектов эл</w:t>
      </w:r>
      <w:r>
        <w:rPr>
          <w:rFonts w:ascii="Times New Roman" w:hAnsi="Times New Roman"/>
          <w:sz w:val="28"/>
          <w:szCs w:val="28"/>
        </w:rPr>
        <w:t xml:space="preserve">ектросетевого хозяйства критериям отнесения к ТСО не учитываются объекты, которыми такой владелец владеет на основании договора аренды, договора финансовой аренды (лизинга), договора безвозмездного пользования, договора доверительного управления имуществом</w:t>
      </w:r>
      <w:r>
        <w:rPr>
          <w:rFonts w:ascii="Times New Roman" w:hAnsi="Times New Roman"/>
          <w:sz w:val="28"/>
          <w:szCs w:val="28"/>
        </w:rPr>
        <w:t xml:space="preserve">, за исключением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(за исключением случаев, если такие объекты электросетевого хозяйства переданы по указанным договорам юридическому лицу, права акционера которого или собственника имуще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ства которого осуществляют Российская Федерация в лице Министерства обороны Российской Федерации и (или) подведомственные Министерству обороны Российской Федерации организации, а также если собственник объектов электросетевого хозяйства является основным и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л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и дочерним (зависимым) обществом по отношению к организации, оказывающей (планирующей оказывать) услуги </w:t>
        <w:br/>
        <w:t xml:space="preserve">по передаче электрической энергии с использованием указанных объектов электросетевого хозяйства, а также если собственник объектов электросетевого хозя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йства и организация, оказывающая (планирующая оказывать) услуги по передаче электрической энергии с использованием указанных объектов электросетевого хозяйства, являются дочерними (зависимыми) обществами по отношению к одному и тому же основному обществу).</w:t>
      </w:r>
      <w:r>
        <w:rPr>
          <w:rFonts w:ascii="Times New Roman" w:hAnsi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Постановлением Правительства Российской Феде</w:t>
      </w:r>
      <w:r>
        <w:rPr>
          <w:rFonts w:ascii="Times New Roman" w:hAnsi="Times New Roman"/>
          <w:bCs/>
          <w:sz w:val="28"/>
          <w:szCs w:val="28"/>
        </w:rPr>
        <w:t xml:space="preserve">рации от 26.09.2025 № 1476 установлены еще более жесткие требования к основаниям владения объектами электросетевого хозяйства, учитываемым при оценке на соответствие критериям ТСО. При определении соответствия владельцев объектов электросетевого хозяйства </w:t>
      </w:r>
      <w:r>
        <w:rPr>
          <w:rFonts w:ascii="Times New Roman" w:hAnsi="Times New Roman"/>
          <w:bCs/>
          <w:sz w:val="28"/>
          <w:szCs w:val="28"/>
        </w:rPr>
        <w:t xml:space="preserve">критериям ТСО учитываются только объекты электросетевого хозяйства, принадлежащие такому владельцу на праве собственности (за исключением долевой собственности).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 период с начала действия П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становления № 184 и до настоящего времени, протяженность линий электропередачи, владение которой позволяет получить статус ТСО, увеличилась сначала до 15 км в 2016 г, и потом поэтапно до 300 км в 2025 г. </w:t>
        <w:br/>
        <w:t xml:space="preserve">и последующие годы (рост протяженности в 20 раз).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 аналогии с подходом, реализованным в сфере электроэнергетики, </w:t>
      </w:r>
      <w:r>
        <w:rPr>
          <w:rFonts w:ascii="Times New Roman" w:hAnsi="Times New Roman"/>
          <w:spacing w:val="-6"/>
          <w:sz w:val="28"/>
          <w:szCs w:val="28"/>
        </w:rPr>
        <w:t xml:space="preserve">п</w:t>
      </w:r>
      <w:r>
        <w:rPr>
          <w:rFonts w:ascii="Times New Roman" w:hAnsi="Times New Roman"/>
          <w:spacing w:val="-6"/>
          <w:sz w:val="28"/>
          <w:szCs w:val="28"/>
        </w:rPr>
        <w:t xml:space="preserve">роектом постановления вносятся изменения </w:t>
      </w:r>
      <w:r>
        <w:rPr>
          <w:rFonts w:ascii="Times New Roman" w:hAnsi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/>
          <w:spacing w:val="-6"/>
          <w:sz w:val="28"/>
          <w:szCs w:val="28"/>
        </w:rPr>
        <w:t xml:space="preserve">Правила холодного водоснабжения </w:t>
        <w:br/>
        <w:t xml:space="preserve">и водоотведения, утвержденные постановлением Правительства Российской Федерации от 29</w:t>
      </w:r>
      <w:r>
        <w:rPr>
          <w:rFonts w:ascii="Times New Roman" w:hAnsi="Times New Roman"/>
          <w:spacing w:val="-6"/>
          <w:sz w:val="28"/>
          <w:szCs w:val="28"/>
        </w:rPr>
        <w:t xml:space="preserve"> июля </w:t>
      </w:r>
      <w:r>
        <w:rPr>
          <w:rFonts w:ascii="Times New Roman" w:hAnsi="Times New Roman"/>
          <w:spacing w:val="-6"/>
          <w:sz w:val="28"/>
          <w:szCs w:val="28"/>
        </w:rPr>
        <w:t xml:space="preserve">2013 </w:t>
      </w:r>
      <w:r>
        <w:rPr>
          <w:rFonts w:ascii="Times New Roman" w:hAnsi="Times New Roman"/>
          <w:spacing w:val="-6"/>
          <w:sz w:val="28"/>
          <w:szCs w:val="28"/>
        </w:rPr>
        <w:t xml:space="preserve">г. </w:t>
      </w:r>
      <w:r>
        <w:rPr>
          <w:rFonts w:ascii="Times New Roman" w:hAnsi="Times New Roman"/>
          <w:spacing w:val="-6"/>
          <w:sz w:val="28"/>
          <w:szCs w:val="28"/>
        </w:rPr>
        <w:t xml:space="preserve">№ 644 «Об утверждении Правил холодного водоснабжения </w:t>
        <w:br/>
        <w:t xml:space="preserve">и водоотведения и о внесении изменений в некоторые акты Правительства Российской Федерации» </w:t>
      </w:r>
      <w:r>
        <w:rPr>
          <w:rFonts w:ascii="Times New Roman" w:hAnsi="Times New Roman"/>
          <w:spacing w:val="-6"/>
          <w:sz w:val="28"/>
          <w:szCs w:val="28"/>
        </w:rPr>
        <w:t xml:space="preserve">(далее – Правила № 644)</w:t>
      </w:r>
      <w:r>
        <w:rPr>
          <w:rFonts w:ascii="Times New Roman" w:hAnsi="Times New Roman"/>
          <w:spacing w:val="-6"/>
          <w:sz w:val="28"/>
          <w:szCs w:val="28"/>
        </w:rPr>
        <w:t xml:space="preserve">,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в части поэтап</w:t>
      </w:r>
      <w:r>
        <w:rPr>
          <w:rFonts w:ascii="Times New Roman" w:hAnsi="Times New Roman"/>
          <w:spacing w:val="-6"/>
          <w:sz w:val="28"/>
          <w:szCs w:val="28"/>
        </w:rPr>
        <w:t xml:space="preserve">ного увеличения численного значения критерия непрерывной протяженности водопроводных и (или) канализационных сетей, владение которыми на праве собственности или ином законном праве дает основание для отнесения к транзитным организациям, а также исключения </w:t>
      </w:r>
      <w:r>
        <w:rPr>
          <w:rFonts w:ascii="Times New Roman" w:hAnsi="Times New Roman"/>
          <w:bCs/>
          <w:sz w:val="28"/>
        </w:rPr>
        <w:t xml:space="preserve">водопроводны</w:t>
      </w:r>
      <w:r>
        <w:rPr>
          <w:rFonts w:ascii="Times New Roman" w:hAnsi="Times New Roman"/>
          <w:bCs/>
          <w:sz w:val="28"/>
        </w:rPr>
        <w:t xml:space="preserve">х</w:t>
      </w:r>
      <w:r>
        <w:rPr>
          <w:rFonts w:ascii="Times New Roman" w:hAnsi="Times New Roman"/>
          <w:bCs/>
          <w:sz w:val="28"/>
        </w:rPr>
        <w:t xml:space="preserve"> и (или) канализационны</w:t>
      </w:r>
      <w:r>
        <w:rPr>
          <w:rFonts w:ascii="Times New Roman" w:hAnsi="Times New Roman"/>
          <w:bCs/>
          <w:sz w:val="28"/>
        </w:rPr>
        <w:t xml:space="preserve">х</w:t>
      </w:r>
      <w:r>
        <w:rPr>
          <w:rFonts w:ascii="Times New Roman" w:hAnsi="Times New Roman"/>
          <w:bCs/>
          <w:sz w:val="28"/>
        </w:rPr>
        <w:t xml:space="preserve"> сет</w:t>
      </w:r>
      <w:r>
        <w:rPr>
          <w:rFonts w:ascii="Times New Roman" w:hAnsi="Times New Roman"/>
          <w:bCs/>
          <w:sz w:val="28"/>
        </w:rPr>
        <w:t xml:space="preserve">ей</w:t>
      </w:r>
      <w:r>
        <w:rPr>
          <w:rFonts w:ascii="Times New Roman" w:hAnsi="Times New Roman"/>
          <w:bCs/>
          <w:sz w:val="28"/>
        </w:rPr>
        <w:t xml:space="preserve">, которыми юридическое лицо или индивидуальный предприниматель владеет на основании договора аренды, договора финансовой аренды (лизинга), договора безвозмездного пользования, договора доверит</w:t>
      </w:r>
      <w:r>
        <w:rPr>
          <w:rFonts w:ascii="Times New Roman" w:hAnsi="Times New Roman"/>
          <w:bCs/>
          <w:sz w:val="28"/>
        </w:rPr>
        <w:t xml:space="preserve">ельного управления имуществом, из числа объектов, учитываемых </w:t>
        <w:br/>
        <w:t xml:space="preserve">при определении соответствия критериям отнесения к транзитным организациям </w:t>
        <w:br/>
        <w:t xml:space="preserve">(за исключением </w:t>
      </w:r>
      <w:r>
        <w:rPr>
          <w:rFonts w:ascii="Times New Roman" w:hAnsi="Times New Roman"/>
          <w:sz w:val="28"/>
          <w:szCs w:val="28"/>
        </w:rPr>
        <w:t xml:space="preserve">случаев, если водопроводные и (или) канализационные сети </w:t>
        <w:br/>
        <w:t xml:space="preserve">и (или) сооружения на них переданы по указанным договорам юридическому лицу, </w:t>
      </w:r>
      <w:r>
        <w:rPr>
          <w:rFonts w:ascii="Times New Roman" w:hAnsi="Times New Roman"/>
          <w:sz w:val="28"/>
          <w:szCs w:val="28"/>
        </w:rPr>
        <w:t xml:space="preserve">права акционера которого или собственника имущества которого осуществляют Российская Федерация в лице Министерства обороны Российской Федерации </w:t>
        <w:br/>
        <w:t xml:space="preserve">и (или) подведомственные Министерству обороны Российской Федерации, а также юридическому лицу, явля</w:t>
      </w:r>
      <w:r>
        <w:rPr>
          <w:rFonts w:ascii="Times New Roman" w:hAnsi="Times New Roman"/>
          <w:sz w:val="28"/>
          <w:szCs w:val="28"/>
        </w:rPr>
        <w:t xml:space="preserve">ющ</w:t>
      </w:r>
      <w:r>
        <w:rPr>
          <w:rFonts w:ascii="Times New Roman" w:hAnsi="Times New Roman"/>
          <w:sz w:val="28"/>
          <w:szCs w:val="28"/>
        </w:rPr>
        <w:t xml:space="preserve">емуся в соответствии с Федеральным законом </w:t>
        <w:br/>
        <w:t xml:space="preserve">«О государственном оборонном заказе» головным исполнителем поставок продукции по государственному оборонному заказу и (или) исполнителем, участвующим </w:t>
        <w:br/>
        <w:t xml:space="preserve">в поставках продукции по государственному оборонному заказу).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Так, проектом постановления предлагается увеличить непрерывную протяженность сети, </w:t>
      </w:r>
      <w:r>
        <w:rPr>
          <w:rFonts w:ascii="Times New Roman" w:hAnsi="Times New Roman"/>
          <w:bCs/>
          <w:sz w:val="28"/>
        </w:rPr>
        <w:t xml:space="preserve">владение которой </w:t>
      </w:r>
      <w:r>
        <w:rPr>
          <w:rFonts w:ascii="Times New Roman" w:hAnsi="Times New Roman"/>
          <w:bCs/>
          <w:sz w:val="28"/>
        </w:rPr>
        <w:t xml:space="preserve">при соответствии иным критериям </w:t>
      </w:r>
      <w:r>
        <w:rPr>
          <w:rFonts w:ascii="Times New Roman" w:hAnsi="Times New Roman"/>
          <w:bCs/>
          <w:sz w:val="28"/>
        </w:rPr>
        <w:t xml:space="preserve">дает возможность </w:t>
      </w:r>
      <w:r>
        <w:rPr>
          <w:rFonts w:ascii="Times New Roman" w:hAnsi="Times New Roman"/>
          <w:bCs/>
          <w:sz w:val="28"/>
        </w:rPr>
        <w:t xml:space="preserve">отнести собственника (владельца) такой сети к транзитным организациям</w:t>
      </w:r>
      <w:r>
        <w:rPr>
          <w:rFonts w:ascii="Times New Roman" w:hAnsi="Times New Roman"/>
          <w:bCs/>
          <w:sz w:val="28"/>
        </w:rPr>
        <w:t xml:space="preserve">. Такая протяженность в соответствии с проектом постановления </w:t>
      </w:r>
      <w:r>
        <w:rPr>
          <w:rFonts w:ascii="Times New Roman" w:hAnsi="Times New Roman"/>
          <w:bCs/>
          <w:sz w:val="28"/>
        </w:rPr>
        <w:t xml:space="preserve">должна составить</w:t>
      </w:r>
      <w:r>
        <w:rPr>
          <w:rFonts w:ascii="Times New Roman" w:hAnsi="Times New Roman"/>
          <w:bCs/>
          <w:sz w:val="28"/>
        </w:rPr>
        <w:t xml:space="preserve">: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для</w:t>
      </w:r>
      <w:r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населенных пункт</w:t>
      </w:r>
      <w:r>
        <w:rPr>
          <w:rFonts w:ascii="Times New Roman" w:hAnsi="Times New Roman"/>
          <w:bCs/>
          <w:sz w:val="28"/>
        </w:rPr>
        <w:t xml:space="preserve">ов</w:t>
      </w:r>
      <w:r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с населением от 1 млн. человек и более – </w:t>
      </w:r>
      <w:r>
        <w:rPr>
          <w:rFonts w:ascii="Times New Roman" w:hAnsi="Times New Roman"/>
          <w:bCs/>
          <w:sz w:val="28"/>
        </w:rPr>
        <w:t xml:space="preserve">не менее</w:t>
      </w:r>
      <w:r>
        <w:rPr>
          <w:rFonts w:ascii="Times New Roman" w:hAnsi="Times New Roman"/>
          <w:bCs/>
          <w:sz w:val="28"/>
        </w:rPr>
        <w:t xml:space="preserve"> </w:t>
        <w:br/>
        <w:t xml:space="preserve">20 км в 2026 г, </w:t>
      </w:r>
      <w:r>
        <w:rPr>
          <w:rFonts w:ascii="Times New Roman" w:hAnsi="Times New Roman"/>
          <w:bCs/>
          <w:sz w:val="28"/>
        </w:rPr>
        <w:t xml:space="preserve">не менее </w:t>
      </w:r>
      <w:r>
        <w:rPr>
          <w:rFonts w:ascii="Times New Roman" w:hAnsi="Times New Roman"/>
          <w:bCs/>
          <w:sz w:val="28"/>
        </w:rPr>
        <w:t xml:space="preserve">45 км – в 2027 г., </w:t>
      </w:r>
      <w:r>
        <w:rPr>
          <w:rFonts w:ascii="Times New Roman" w:hAnsi="Times New Roman"/>
          <w:bCs/>
          <w:sz w:val="28"/>
        </w:rPr>
        <w:t xml:space="preserve">не менее </w:t>
      </w:r>
      <w:r>
        <w:rPr>
          <w:rFonts w:ascii="Times New Roman" w:hAnsi="Times New Roman"/>
          <w:bCs/>
          <w:sz w:val="28"/>
        </w:rPr>
        <w:t xml:space="preserve">60 км – </w:t>
      </w:r>
      <w:r>
        <w:rPr>
          <w:rFonts w:ascii="Times New Roman" w:hAnsi="Times New Roman"/>
          <w:bCs/>
          <w:sz w:val="28"/>
        </w:rPr>
        <w:t xml:space="preserve">в</w:t>
      </w:r>
      <w:r>
        <w:rPr>
          <w:rFonts w:ascii="Times New Roman" w:hAnsi="Times New Roman"/>
          <w:bCs/>
          <w:sz w:val="28"/>
        </w:rPr>
        <w:t xml:space="preserve"> 2028 г.</w:t>
      </w:r>
      <w:r>
        <w:rPr>
          <w:rFonts w:ascii="Times New Roman" w:hAnsi="Times New Roman"/>
          <w:bCs/>
          <w:sz w:val="28"/>
        </w:rPr>
        <w:t xml:space="preserve"> и последующие годы</w:t>
      </w:r>
      <w:r>
        <w:rPr>
          <w:rFonts w:ascii="Times New Roman" w:hAnsi="Times New Roman"/>
          <w:bCs/>
          <w:sz w:val="28"/>
        </w:rPr>
        <w:t xml:space="preserve">; 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 населением от 500 тыс. до 1 млн. человек – </w:t>
      </w:r>
      <w:r>
        <w:rPr>
          <w:rFonts w:ascii="Times New Roman" w:hAnsi="Times New Roman"/>
          <w:bCs/>
          <w:sz w:val="28"/>
        </w:rPr>
        <w:t xml:space="preserve">не менее</w:t>
      </w:r>
      <w:r>
        <w:rPr>
          <w:rFonts w:ascii="Times New Roman" w:hAnsi="Times New Roman"/>
          <w:bCs/>
          <w:sz w:val="28"/>
        </w:rPr>
        <w:t xml:space="preserve"> 6 км в 2026 г., </w:t>
      </w:r>
      <w:r>
        <w:rPr>
          <w:rFonts w:ascii="Times New Roman" w:hAnsi="Times New Roman"/>
          <w:bCs/>
          <w:sz w:val="28"/>
        </w:rPr>
        <w:t xml:space="preserve">не менее </w:t>
      </w:r>
      <w:r>
        <w:rPr>
          <w:rFonts w:ascii="Times New Roman" w:hAnsi="Times New Roman"/>
          <w:bCs/>
          <w:sz w:val="28"/>
        </w:rPr>
        <w:t xml:space="preserve">12 км – в 2027 г., </w:t>
      </w:r>
      <w:r>
        <w:rPr>
          <w:rFonts w:ascii="Times New Roman" w:hAnsi="Times New Roman"/>
          <w:bCs/>
          <w:sz w:val="28"/>
        </w:rPr>
        <w:t xml:space="preserve">не менее</w:t>
      </w:r>
      <w:r>
        <w:rPr>
          <w:rFonts w:ascii="Times New Roman" w:hAnsi="Times New Roman"/>
          <w:bCs/>
          <w:sz w:val="28"/>
        </w:rPr>
        <w:t xml:space="preserve"> 24 км –</w:t>
      </w:r>
      <w:r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в</w:t>
      </w:r>
      <w:r>
        <w:rPr>
          <w:rFonts w:ascii="Times New Roman" w:hAnsi="Times New Roman"/>
          <w:bCs/>
          <w:sz w:val="28"/>
        </w:rPr>
        <w:t xml:space="preserve"> 2028 г.</w:t>
      </w:r>
      <w:r>
        <w:rPr>
          <w:rFonts w:ascii="Times New Roman" w:hAnsi="Times New Roman"/>
          <w:bCs/>
          <w:sz w:val="28"/>
        </w:rPr>
        <w:t xml:space="preserve"> и последующие годы</w:t>
      </w:r>
      <w:r>
        <w:rPr>
          <w:rFonts w:ascii="Times New Roman" w:hAnsi="Times New Roman"/>
          <w:bCs/>
          <w:sz w:val="28"/>
        </w:rPr>
        <w:t xml:space="preserve">;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 населением от 250 тыс. до 500 тыс. человек </w:t>
      </w:r>
      <w:r>
        <w:rPr>
          <w:rFonts w:ascii="Times New Roman" w:hAnsi="Times New Roman"/>
          <w:bCs/>
          <w:sz w:val="28"/>
        </w:rPr>
        <w:t xml:space="preserve">– </w:t>
      </w:r>
      <w:r>
        <w:rPr>
          <w:rFonts w:ascii="Times New Roman" w:hAnsi="Times New Roman"/>
          <w:bCs/>
          <w:sz w:val="28"/>
        </w:rPr>
        <w:t xml:space="preserve">не менее </w:t>
      </w:r>
      <w:r>
        <w:rPr>
          <w:rFonts w:ascii="Times New Roman" w:hAnsi="Times New Roman"/>
          <w:bCs/>
          <w:sz w:val="28"/>
        </w:rPr>
        <w:t xml:space="preserve">2 км </w:t>
      </w:r>
      <w:r>
        <w:rPr>
          <w:rFonts w:ascii="Times New Roman" w:hAnsi="Times New Roman"/>
          <w:bCs/>
          <w:sz w:val="28"/>
        </w:rPr>
        <w:t xml:space="preserve">- </w:t>
      </w:r>
      <w:r>
        <w:rPr>
          <w:rFonts w:ascii="Times New Roman" w:hAnsi="Times New Roman"/>
          <w:bCs/>
          <w:sz w:val="28"/>
        </w:rPr>
        <w:t xml:space="preserve">в 2026 г., </w:t>
      </w:r>
      <w:r>
        <w:rPr>
          <w:rFonts w:ascii="Times New Roman" w:hAnsi="Times New Roman"/>
          <w:bCs/>
          <w:sz w:val="28"/>
        </w:rPr>
        <w:t xml:space="preserve">не менее 4 км – в 2027 г., не менее 8 км – </w:t>
      </w:r>
      <w:r>
        <w:rPr>
          <w:rFonts w:ascii="Times New Roman" w:hAnsi="Times New Roman"/>
          <w:bCs/>
          <w:sz w:val="28"/>
        </w:rPr>
        <w:t xml:space="preserve">в</w:t>
      </w:r>
      <w:r>
        <w:rPr>
          <w:rFonts w:ascii="Times New Roman" w:hAnsi="Times New Roman"/>
          <w:bCs/>
          <w:sz w:val="28"/>
        </w:rPr>
        <w:t xml:space="preserve"> 2028 г.</w:t>
      </w:r>
      <w:r>
        <w:rPr>
          <w:rFonts w:ascii="Times New Roman" w:hAnsi="Times New Roman"/>
          <w:bCs/>
          <w:sz w:val="28"/>
        </w:rPr>
        <w:t xml:space="preserve"> и последующие годы</w:t>
      </w:r>
      <w:r>
        <w:rPr>
          <w:rFonts w:ascii="Times New Roman" w:hAnsi="Times New Roman"/>
          <w:bCs/>
          <w:sz w:val="28"/>
        </w:rPr>
        <w:t xml:space="preserve">;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 населением</w:t>
      </w:r>
      <w:r>
        <w:rPr>
          <w:rFonts w:ascii="Times New Roman" w:hAnsi="Times New Roman"/>
          <w:bCs/>
          <w:sz w:val="28"/>
        </w:rPr>
        <w:t xml:space="preserve"> до 250 тыс. человек – не менее 1 км – в 2026 г., не менее 2 км – </w:t>
        <w:br/>
        <w:t xml:space="preserve">в 2</w:t>
      </w:r>
      <w:r>
        <w:rPr>
          <w:rFonts w:ascii="Times New Roman" w:hAnsi="Times New Roman"/>
          <w:bCs/>
          <w:sz w:val="28"/>
        </w:rPr>
        <w:t xml:space="preserve">027 г., не менее 4 км – в 2028 г. и последующие годы.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ind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</w:t>
      </w:r>
      <w:r>
        <w:rPr>
          <w:rFonts w:ascii="Times New Roman" w:hAnsi="Times New Roman"/>
          <w:spacing w:val="-6"/>
          <w:sz w:val="28"/>
          <w:szCs w:val="28"/>
        </w:rPr>
        <w:t xml:space="preserve">Кроме того, п</w:t>
      </w:r>
      <w:r>
        <w:rPr>
          <w:rFonts w:ascii="Times New Roman" w:hAnsi="Times New Roman"/>
          <w:spacing w:val="-6"/>
          <w:sz w:val="28"/>
          <w:szCs w:val="28"/>
        </w:rPr>
        <w:t xml:space="preserve">о аналогии со сферой теплоснабжения предлагается внести изменения в </w:t>
      </w:r>
      <w:r>
        <w:rPr>
          <w:rFonts w:ascii="Times New Roman" w:hAnsi="Times New Roman"/>
          <w:bCs/>
          <w:sz w:val="28"/>
        </w:rPr>
        <w:t xml:space="preserve">Основы ценообразования в сфере водоснабжения и водоотведения, утвержденные постановлением Правительства Российской Федерации от 13</w:t>
      </w:r>
      <w:r>
        <w:rPr>
          <w:rFonts w:ascii="Times New Roman" w:hAnsi="Times New Roman"/>
          <w:bCs/>
          <w:sz w:val="28"/>
        </w:rPr>
        <w:t xml:space="preserve"> мая </w:t>
      </w:r>
      <w:r>
        <w:rPr>
          <w:rFonts w:ascii="Times New Roman" w:hAnsi="Times New Roman"/>
          <w:bCs/>
          <w:sz w:val="28"/>
        </w:rPr>
        <w:t xml:space="preserve">2013 </w:t>
      </w:r>
      <w:r>
        <w:rPr>
          <w:rFonts w:ascii="Times New Roman" w:hAnsi="Times New Roman"/>
          <w:bCs/>
          <w:sz w:val="28"/>
        </w:rPr>
        <w:t xml:space="preserve">г. </w:t>
      </w:r>
      <w:r>
        <w:rPr>
          <w:rFonts w:ascii="Times New Roman" w:hAnsi="Times New Roman"/>
          <w:bCs/>
          <w:sz w:val="28"/>
        </w:rPr>
        <w:t xml:space="preserve">№ 406</w:t>
      </w:r>
      <w:r>
        <w:rPr>
          <w:rFonts w:ascii="Times New Roman" w:hAnsi="Times New Roman"/>
          <w:bCs/>
          <w:sz w:val="28"/>
        </w:rPr>
        <w:t xml:space="preserve"> </w:t>
        <w:br/>
      </w:r>
      <w:r>
        <w:rPr>
          <w:rFonts w:ascii="Times New Roman" w:hAnsi="Times New Roman"/>
          <w:spacing w:val="-6"/>
          <w:sz w:val="28"/>
          <w:szCs w:val="28"/>
        </w:rPr>
        <w:t xml:space="preserve">«О государственном регулировании тарифов в сфере водоснабжения и водоотведения»</w:t>
      </w:r>
      <w:r>
        <w:rPr>
          <w:rFonts w:ascii="Times New Roman" w:hAnsi="Times New Roman"/>
          <w:bCs/>
          <w:sz w:val="28"/>
        </w:rPr>
        <w:t xml:space="preserve">, предусматривающие обязательное </w:t>
      </w:r>
      <w:r>
        <w:rPr>
          <w:rFonts w:ascii="Times New Roman" w:hAnsi="Times New Roman"/>
          <w:bCs/>
          <w:sz w:val="28"/>
        </w:rPr>
        <w:t xml:space="preserve">применение метода сравнения аналогов </w:t>
        <w:br/>
        <w:t xml:space="preserve">при установлении </w:t>
      </w:r>
      <w:r>
        <w:rPr>
          <w:rFonts w:ascii="Times New Roman" w:hAnsi="Times New Roman"/>
          <w:sz w:val="28"/>
          <w:szCs w:val="28"/>
        </w:rPr>
        <w:t xml:space="preserve">тарифов на транспортировку воды и (или) сточных вод </w:t>
        <w:br/>
        <w:t xml:space="preserve">для транзитных организаций с протяженностью сетей не более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0 км.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Правила регулирования тарифов в сфере водоснабжения и водоотведения, утвержденные постановлением Правительства Российской Федерации от 13</w:t>
      </w:r>
      <w:r>
        <w:rPr>
          <w:rFonts w:ascii="Times New Roman" w:hAnsi="Times New Roman"/>
          <w:spacing w:val="-6"/>
          <w:sz w:val="28"/>
          <w:szCs w:val="28"/>
        </w:rPr>
        <w:t xml:space="preserve"> мая </w:t>
      </w:r>
      <w:r>
        <w:rPr>
          <w:rFonts w:ascii="Times New Roman" w:hAnsi="Times New Roman"/>
          <w:spacing w:val="-6"/>
          <w:sz w:val="28"/>
          <w:szCs w:val="28"/>
        </w:rPr>
        <w:t xml:space="preserve">2013 </w:t>
      </w:r>
      <w:r>
        <w:rPr>
          <w:rFonts w:ascii="Times New Roman" w:hAnsi="Times New Roman"/>
          <w:spacing w:val="-6"/>
          <w:sz w:val="28"/>
          <w:szCs w:val="28"/>
        </w:rPr>
        <w:t xml:space="preserve">г. </w:t>
      </w:r>
      <w:r>
        <w:rPr>
          <w:rFonts w:ascii="Times New Roman" w:hAnsi="Times New Roman"/>
          <w:spacing w:val="-6"/>
          <w:sz w:val="28"/>
          <w:szCs w:val="28"/>
        </w:rPr>
        <w:t xml:space="preserve">№ 406 «О государственном регулировании тарифов в сфере водоснабжения </w:t>
        <w:br/>
        <w:t xml:space="preserve">и водоотведения»</w:t>
      </w:r>
      <w:r>
        <w:rPr>
          <w:rFonts w:ascii="Times New Roman" w:hAnsi="Times New Roman"/>
          <w:spacing w:val="-6"/>
          <w:sz w:val="28"/>
          <w:szCs w:val="28"/>
        </w:rPr>
        <w:t xml:space="preserve">,</w:t>
      </w:r>
      <w:r>
        <w:rPr>
          <w:rFonts w:ascii="Times New Roman" w:hAnsi="Times New Roman"/>
          <w:spacing w:val="-6"/>
          <w:sz w:val="28"/>
          <w:szCs w:val="28"/>
        </w:rPr>
        <w:t xml:space="preserve"> дополняются положениями, </w:t>
      </w:r>
      <w:r>
        <w:rPr>
          <w:rFonts w:ascii="Times New Roman" w:hAnsi="Times New Roman"/>
          <w:spacing w:val="-6"/>
          <w:sz w:val="28"/>
          <w:szCs w:val="28"/>
        </w:rPr>
        <w:t xml:space="preserve">включающими в </w:t>
      </w:r>
      <w:r>
        <w:rPr>
          <w:rFonts w:ascii="Times New Roman" w:hAnsi="Times New Roman"/>
          <w:spacing w:val="-6"/>
          <w:sz w:val="28"/>
          <w:szCs w:val="28"/>
        </w:rPr>
        <w:t xml:space="preserve">содержани</w:t>
      </w:r>
      <w:r>
        <w:rPr>
          <w:rFonts w:ascii="Times New Roman" w:hAnsi="Times New Roman"/>
          <w:spacing w:val="-6"/>
          <w:sz w:val="28"/>
          <w:szCs w:val="28"/>
        </w:rPr>
        <w:t xml:space="preserve">е</w:t>
      </w:r>
      <w:r>
        <w:rPr>
          <w:rFonts w:ascii="Times New Roman" w:hAnsi="Times New Roman"/>
          <w:spacing w:val="-6"/>
          <w:sz w:val="28"/>
          <w:szCs w:val="28"/>
        </w:rPr>
        <w:t xml:space="preserve"> экспертного заключения органа регулирования анализ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обоснованности отнесения к </w:t>
      </w:r>
      <w:r>
        <w:rPr>
          <w:rFonts w:ascii="Times New Roman" w:hAnsi="Times New Roman"/>
          <w:spacing w:val="-6"/>
          <w:sz w:val="28"/>
          <w:szCs w:val="28"/>
        </w:rPr>
        <w:t xml:space="preserve">транзитной организации либо несоответстви</w:t>
      </w:r>
      <w:r>
        <w:rPr>
          <w:rFonts w:ascii="Times New Roman" w:hAnsi="Times New Roman"/>
          <w:spacing w:val="-6"/>
          <w:sz w:val="28"/>
          <w:szCs w:val="28"/>
        </w:rPr>
        <w:t xml:space="preserve">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критериям отнесения к транзитной организации</w:t>
      </w:r>
      <w:r>
        <w:rPr>
          <w:rFonts w:ascii="Times New Roman" w:hAnsi="Times New Roman"/>
          <w:spacing w:val="-6"/>
          <w:sz w:val="28"/>
          <w:szCs w:val="28"/>
        </w:rPr>
        <w:t xml:space="preserve">.</w:t>
      </w:r>
      <w:r>
        <w:rPr>
          <w:rFonts w:ascii="Times New Roman" w:hAnsi="Times New Roman"/>
          <w:spacing w:val="-6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</w:t>
      </w:r>
      <w:r>
        <w:rPr>
          <w:rFonts w:ascii="Times New Roman" w:hAnsi="Times New Roman"/>
          <w:spacing w:val="-6"/>
          <w:sz w:val="28"/>
          <w:szCs w:val="28"/>
        </w:rPr>
        <w:t xml:space="preserve">      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П</w:t>
      </w:r>
      <w:r>
        <w:rPr>
          <w:rFonts w:ascii="Times New Roman" w:hAnsi="Times New Roman"/>
          <w:spacing w:val="-6"/>
          <w:sz w:val="28"/>
          <w:szCs w:val="28"/>
        </w:rPr>
        <w:t xml:space="preserve">роектом </w:t>
      </w:r>
      <w:r>
        <w:rPr>
          <w:rFonts w:ascii="Times New Roman" w:hAnsi="Times New Roman"/>
          <w:spacing w:val="-6"/>
          <w:sz w:val="28"/>
          <w:szCs w:val="28"/>
        </w:rPr>
        <w:t xml:space="preserve">постановления </w:t>
      </w:r>
      <w:r>
        <w:rPr>
          <w:rFonts w:ascii="Times New Roman" w:hAnsi="Times New Roman"/>
          <w:spacing w:val="-6"/>
          <w:sz w:val="28"/>
          <w:szCs w:val="28"/>
        </w:rPr>
        <w:t xml:space="preserve">также </w:t>
      </w:r>
      <w:r>
        <w:rPr>
          <w:rFonts w:ascii="Times New Roman" w:hAnsi="Times New Roman"/>
          <w:spacing w:val="-6"/>
          <w:sz w:val="28"/>
          <w:szCs w:val="28"/>
        </w:rPr>
        <w:t xml:space="preserve">признается утратившим силу подпункт «а» пункта 45.2 Правил № 644, в соответствии с которым </w:t>
      </w:r>
      <w:r>
        <w:rPr>
          <w:rFonts w:ascii="Times New Roman" w:hAnsi="Times New Roman"/>
          <w:spacing w:val="-6"/>
          <w:sz w:val="28"/>
          <w:szCs w:val="28"/>
        </w:rPr>
        <w:t xml:space="preserve">признается транзитной организацией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организация, осуществляющая холодное водоснабжение и (или) водоотведение, определенная решением органа местного самоуправления, которая обязана заключить договор холодног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о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водоснабжения, договор водоотведения, единый договор холодного водоснабжения и водоотведения с любым обратившимся к ней лицом, чьи объекты подключены (технологически присоединены) </w:t>
        <w:br/>
        <w:t xml:space="preserve">к централизованной системе холодного водоснабжения и (или) водоотведения.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Указанные изменения обусловлены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сложившейся правоприменительной практикой, автоматически признающей организацию, им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е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ющую статус гарантирующей организации для определенной централизованной системы водоснабжения </w:t>
        <w:br/>
        <w:t xml:space="preserve">и (или) водоотведения, транзитной организацией в другой централизованной системе водоснабжения и (или) водоотведения, в которой такая организация владеет участка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м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и сетей водоснабжения и (или) водоотведения, без оценки ее на соответствие критериям, установленным пунктом 45(1) Правил № 644. Между тем, </w:t>
        <w:br/>
        <w:t xml:space="preserve">для централизованной системы водоснабжения и (или) водоотведения, в которой такая организация является гарантирующей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, нет необходимости в признании </w:t>
        <w:br/>
        <w:t xml:space="preserve">ее одновременно транзитной организацией, поскольку транспортировка воды и (или) сточных вод является частью деятельности по холодному водоснабжению и (или) водоотведению, осуществляемой гарантирующей организа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цие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й, с включением </w:t>
        <w:br/>
        <w:t xml:space="preserve">в тариф на питьевую воду и (или) водоотведение расходов на транспортировку воды </w:t>
        <w:br/>
        <w:t xml:space="preserve">и (или) сточных вод. В отношении централизованной системы водоснабжения и (или) водоотведения, для которой такая организация не является гарантирующей, </w:t>
        <w:br/>
        <w:t xml:space="preserve">но в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которой владеет отдельными участками сетей, отнесение такой организации </w:t>
        <w:br/>
        <w:t xml:space="preserve">к транзитным должно осуществляться на основании общих критериев, предусмотренных пунктом 45(1) Правил № 644.</w:t>
      </w:r>
      <w:r>
        <w:rPr>
          <w:rFonts w:ascii="Times New Roman" w:hAnsi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eastAsiaTheme="minorHAnsi"/>
          <w:sz w:val="28"/>
          <w:szCs w:val="28"/>
          <w:lang w:eastAsia="en-US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соответствии с поручени</w:t>
      </w:r>
      <w:r>
        <w:rPr>
          <w:rFonts w:ascii="Times New Roman" w:hAnsi="Times New Roman"/>
          <w:sz w:val="28"/>
          <w:szCs w:val="28"/>
        </w:rPr>
        <w:t xml:space="preserve">ями</w:t>
      </w:r>
      <w:r>
        <w:rPr>
          <w:rFonts w:ascii="Times New Roman" w:hAnsi="Times New Roman"/>
          <w:sz w:val="28"/>
          <w:szCs w:val="28"/>
        </w:rPr>
        <w:t xml:space="preserve"> Президента Российской Федерации необходимо нарастить темпы модернизации коммунальной инфраструктуры и направить </w:t>
        <w:br/>
        <w:t xml:space="preserve">на это 4,5 триллиона рублей до 2030 года, в том числе частных инвестиций.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этим остро стоит вопрос поиска дополнительных внебюджетных источников инвестиций в коммунальной сфере. Одним из таких источников реконструкции (модернизации) объектов коммунальной инфрастру</w:t>
      </w:r>
      <w:r>
        <w:rPr>
          <w:rFonts w:ascii="Times New Roman" w:hAnsi="Times New Roman"/>
          <w:sz w:val="28"/>
          <w:szCs w:val="28"/>
        </w:rPr>
        <w:t xml:space="preserve">кт</w:t>
      </w:r>
      <w:r>
        <w:rPr>
          <w:rFonts w:ascii="Times New Roman" w:hAnsi="Times New Roman"/>
          <w:sz w:val="28"/>
          <w:szCs w:val="28"/>
        </w:rPr>
        <w:t xml:space="preserve">уры в рамках утвержденных инвестиционных программ могут стать средства, направляемые </w:t>
        <w:br/>
        <w:t xml:space="preserve">в настоящее время гарантирующими организациями в сфере водоснабжения </w:t>
        <w:br/>
        <w:t xml:space="preserve">и водоотведения на оплату услуг транзитных организаций по транспортировке воды и (или) сточных вод.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По результатам анализа сведений о транзитных организациях, полученных Минстроем России от субъектов Российской Федерации, в результате применения предлагаемых изменений </w:t>
      </w:r>
      <w:r>
        <w:rPr>
          <w:rFonts w:ascii="Times New Roman" w:hAnsi="Times New Roman"/>
          <w:sz w:val="28"/>
          <w:szCs w:val="28"/>
        </w:rPr>
        <w:t xml:space="preserve">в части увеличения критерия непрерывной протяженности сети </w:t>
      </w:r>
      <w:r>
        <w:rPr>
          <w:rFonts w:ascii="Times New Roman" w:hAnsi="Times New Roman"/>
          <w:sz w:val="28"/>
          <w:szCs w:val="28"/>
        </w:rPr>
        <w:t xml:space="preserve">доля расходов на оплату услуг транзитных организаций в суммарной необходимой валовой выручке по водоснабжению и водоотведению</w:t>
      </w:r>
      <w:r>
        <w:rPr>
          <w:rFonts w:ascii="Times New Roman" w:hAnsi="Times New Roman"/>
          <w:sz w:val="28"/>
          <w:szCs w:val="28"/>
        </w:rPr>
        <w:t xml:space="preserve"> гарантирующих организаций</w:t>
      </w:r>
      <w:r>
        <w:rPr>
          <w:rFonts w:ascii="Times New Roman" w:hAnsi="Times New Roman"/>
          <w:sz w:val="28"/>
          <w:szCs w:val="28"/>
        </w:rPr>
        <w:t xml:space="preserve">, которая сейчас составляет в среднем по Ро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сийской Федерации 3,06%, снизится до 2,2%. На основании данных Росстата, согласно которым в 2024 году выручка по основному виду деятельности водоснабжение составила </w:t>
        <w:br/>
        <w:t xml:space="preserve">353 634 660.4 тыс. руб., водоотведения -  271 837 941.1 тыс. руб., экономия гарантирующих </w:t>
      </w:r>
      <w:r>
        <w:rPr>
          <w:rFonts w:ascii="Times New Roman" w:hAnsi="Times New Roman"/>
          <w:sz w:val="28"/>
          <w:szCs w:val="28"/>
        </w:rPr>
        <w:t xml:space="preserve">организаций </w:t>
      </w:r>
      <w:r>
        <w:rPr>
          <w:rFonts w:ascii="Times New Roman" w:hAnsi="Times New Roman"/>
          <w:sz w:val="28"/>
          <w:szCs w:val="28"/>
        </w:rPr>
        <w:t xml:space="preserve">от применения проектируемых норм </w:t>
      </w:r>
      <w:r>
        <w:rPr>
          <w:rFonts w:ascii="Times New Roman" w:hAnsi="Times New Roman"/>
          <w:sz w:val="28"/>
          <w:szCs w:val="28"/>
        </w:rPr>
        <w:t xml:space="preserve">может </w:t>
      </w:r>
      <w:r>
        <w:rPr>
          <w:rFonts w:ascii="Times New Roman" w:hAnsi="Times New Roman"/>
          <w:sz w:val="28"/>
          <w:szCs w:val="28"/>
        </w:rPr>
        <w:t xml:space="preserve">составит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порядка</w:t>
      </w:r>
      <w:r>
        <w:rPr>
          <w:rFonts w:ascii="Times New Roman" w:hAnsi="Times New Roman"/>
          <w:sz w:val="28"/>
          <w:szCs w:val="28"/>
        </w:rPr>
        <w:t xml:space="preserve"> 5,3 млрд. руб. ежегодно.</w:t>
      </w:r>
      <w:r>
        <w:rPr>
          <w:rFonts w:ascii="Times New Roman" w:hAnsi="Times New Roman"/>
          <w:sz w:val="28"/>
          <w:szCs w:val="28"/>
        </w:rPr>
        <w:t xml:space="preserve"> Указанные средства могут быть направлены гарантирующими организациями на реализацию инвестиционных мероприятий, </w:t>
        <w:br/>
        <w:t xml:space="preserve">в том числе перекладку сетей, с целью доведения уровня перекладки сетей до 2,5%</w:t>
      </w:r>
      <w:r>
        <w:rPr>
          <w:rFonts w:ascii="Times New Roman" w:hAnsi="Times New Roman"/>
          <w:sz w:val="28"/>
          <w:szCs w:val="28"/>
        </w:rPr>
        <w:t xml:space="preserve">, без увеличения размера тарифа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умма </w:t>
      </w:r>
      <w:r>
        <w:rPr>
          <w:rFonts w:ascii="Times New Roman" w:hAnsi="Times New Roman"/>
          <w:sz w:val="28"/>
          <w:szCs w:val="28"/>
        </w:rPr>
        <w:t xml:space="preserve">экономии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позволит гарантирующим организациям ежегодно перекладывать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212 км сетей</w:t>
      </w:r>
      <w:r>
        <w:rPr>
          <w:rFonts w:ascii="Times New Roman" w:hAnsi="Times New Roman"/>
          <w:sz w:val="28"/>
          <w:szCs w:val="28"/>
        </w:rPr>
        <w:t xml:space="preserve"> водоснабжения </w:t>
        <w:br/>
        <w:t xml:space="preserve">и водоотведения</w:t>
      </w:r>
      <w:r>
        <w:rPr>
          <w:rFonts w:ascii="Times New Roman" w:hAnsi="Times New Roman"/>
          <w:sz w:val="28"/>
          <w:szCs w:val="28"/>
        </w:rPr>
        <w:t xml:space="preserve"> (из расчета </w:t>
      </w:r>
      <w:r>
        <w:rPr>
          <w:rFonts w:ascii="Times New Roman" w:hAnsi="Times New Roman"/>
          <w:sz w:val="28"/>
          <w:szCs w:val="28"/>
        </w:rPr>
        <w:t xml:space="preserve">средней </w:t>
      </w:r>
      <w:r>
        <w:rPr>
          <w:rFonts w:ascii="Times New Roman" w:hAnsi="Times New Roman"/>
          <w:sz w:val="28"/>
          <w:szCs w:val="28"/>
        </w:rPr>
        <w:t xml:space="preserve">стоимости перекладки 1 км сети – 25 млн. руб.).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редусматриваемая проектом постановления </w:t>
      </w:r>
      <w:r>
        <w:rPr>
          <w:rFonts w:ascii="Times New Roman" w:hAnsi="Times New Roman"/>
          <w:sz w:val="28"/>
          <w:szCs w:val="28"/>
        </w:rPr>
        <w:t xml:space="preserve">в качестве критерия отнесения </w:t>
        <w:br/>
        <w:t xml:space="preserve">к транзит</w:t>
      </w:r>
      <w:r>
        <w:rPr>
          <w:rFonts w:ascii="Times New Roman" w:hAnsi="Times New Roman"/>
          <w:sz w:val="28"/>
          <w:szCs w:val="28"/>
        </w:rPr>
        <w:t xml:space="preserve">ным организациям непрерывная протяженность </w:t>
      </w:r>
      <w:r>
        <w:rPr>
          <w:rFonts w:ascii="Times New Roman" w:hAnsi="Times New Roman"/>
          <w:sz w:val="28"/>
          <w:szCs w:val="28"/>
        </w:rPr>
        <w:t xml:space="preserve">сети является оптимальной с точки зрения баланса интересов гарантирующих организаций и транзитных организаций.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редлагаемое регулирование позволит сократить расходы гарантирующих организаций к 2028 г.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в городах с населением более 1 млн. человек – на 27 процентов, в населенных пунктах с населением от 500 тыс. до 1 млн. человек – на 83%, с населением от 250 тыс. до 500 тыс. человек – на 36%, с населе</w:t>
      </w:r>
      <w:r>
        <w:rPr>
          <w:rFonts w:ascii="Times New Roman" w:hAnsi="Times New Roman"/>
          <w:sz w:val="28"/>
          <w:szCs w:val="28"/>
        </w:rPr>
        <w:t xml:space="preserve">нием </w:t>
        <w:br/>
        <w:t xml:space="preserve">до 250 тыс. человек - на 14%.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Таким образом, наиболее крупные транзитные организации, являющиеся собственниками сетей и (или) владеющие ими на праве хозяйственного ведения, оперативного управления или концессии, сохранят статус транзитных организаций.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Кроме того, в соответствии с информацией субъектов Российской Федерации, в крупных городах </w:t>
      </w:r>
      <w:r>
        <w:rPr>
          <w:rFonts w:ascii="Times New Roman" w:hAnsi="Times New Roman"/>
          <w:sz w:val="28"/>
          <w:szCs w:val="28"/>
        </w:rPr>
        <w:t xml:space="preserve">значительную долю в расходах гарантирующих организаций на оплату услуг транзитных организаций занимают услуги тех транзитных организаций, которые соответствуют одному из критериев, предусмотренных пунктом 45(2) Правил № 644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41% затрат в городах с населением свыше 1 млн. человек)</w:t>
      </w:r>
      <w:r>
        <w:rPr>
          <w:rFonts w:ascii="Times New Roman" w:hAnsi="Times New Roman"/>
          <w:sz w:val="28"/>
          <w:szCs w:val="28"/>
        </w:rPr>
        <w:t xml:space="preserve">, при этом протяженность эксплуатируемой ими сети не оценивается. Такие организации </w:t>
      </w:r>
      <w:r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продолжат свою деятельность в качестве транзитных организаций.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Принятие проекта постановления не приведет к дополнительным расходам федерального бюджета.</w:t>
      </w:r>
      <w:r>
        <w:rPr>
          <w:rFonts w:ascii="Times New Roman" w:hAnsi="Times New Roman"/>
          <w:spacing w:val="-6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pStyle w:val="878"/>
        <w:ind w:firstLine="567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содержит обя</w:t>
      </w:r>
      <w:r>
        <w:rPr>
          <w:rFonts w:ascii="Times New Roman" w:hAnsi="Times New Roman"/>
          <w:sz w:val="28"/>
          <w:szCs w:val="28"/>
        </w:rPr>
        <w:t xml:space="preserve">зательны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обязательных требований, соответствие котор</w:t>
      </w:r>
      <w:r>
        <w:rPr>
          <w:rFonts w:ascii="Times New Roman" w:hAnsi="Times New Roman"/>
          <w:sz w:val="28"/>
          <w:szCs w:val="28"/>
        </w:rPr>
        <w:t xml:space="preserve">ым проверяется при выдаче разрешений, лицензий, аттестатов аккредитации, иных документов, имеющих разрешительный характер. Реализация предлагаемых проектом постановления решений не повлияет на достижение целей государственных программ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не содержит положений, противоречащих положениям Договора о Евразийском экономическом союзе, а также положениям иных международных договоров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Договоры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отсутствуют.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58279779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8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</w:r>
        <w:r>
          <w:rPr>
            <w:rFonts w:ascii="Times New Roman" w:hAnsi="Times New Roman"/>
            <w:sz w:val="24"/>
            <w:szCs w:val="24"/>
          </w:rPr>
        </w:r>
      </w:p>
    </w:sdtContent>
  </w:sdt>
  <w:p>
    <w:pPr>
      <w:pStyle w:val="8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6"/>
    <w:link w:val="855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4"/>
    <w:next w:val="854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6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6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6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6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6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4"/>
    <w:next w:val="854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6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4"/>
    <w:next w:val="854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6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6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6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6"/>
    <w:link w:val="861"/>
    <w:uiPriority w:val="99"/>
  </w:style>
  <w:style w:type="character" w:styleId="708">
    <w:name w:val="Footer Char"/>
    <w:basedOn w:val="856"/>
    <w:link w:val="866"/>
    <w:uiPriority w:val="99"/>
  </w:style>
  <w:style w:type="paragraph" w:styleId="709">
    <w:name w:val="Caption"/>
    <w:basedOn w:val="854"/>
    <w:next w:val="854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856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6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6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855">
    <w:name w:val="Heading 1"/>
    <w:basedOn w:val="854"/>
    <w:next w:val="854"/>
    <w:link w:val="859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 w:customStyle="1">
    <w:name w:val="Заголовок 1 Знак"/>
    <w:basedOn w:val="856"/>
    <w:link w:val="85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0" w:customStyle="1">
    <w:name w:val=".FORMATTEXT"/>
    <w:uiPriority w:val="99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61">
    <w:name w:val="Header"/>
    <w:basedOn w:val="854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6"/>
    <w:link w:val="861"/>
    <w:uiPriority w:val="99"/>
    <w:rPr>
      <w:rFonts w:ascii="Calibri" w:hAnsi="Calibri" w:eastAsia="Times New Roman" w:cs="Times New Roman"/>
      <w:lang w:eastAsia="ru-RU"/>
    </w:rPr>
  </w:style>
  <w:style w:type="paragraph" w:styleId="863">
    <w:name w:val="List Paragraph"/>
    <w:basedOn w:val="854"/>
    <w:uiPriority w:val="34"/>
    <w:qFormat/>
    <w:pPr>
      <w:contextualSpacing/>
      <w:ind w:left="720"/>
    </w:pPr>
  </w:style>
  <w:style w:type="paragraph" w:styleId="86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6">
    <w:name w:val="Footer"/>
    <w:basedOn w:val="854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856"/>
    <w:link w:val="866"/>
    <w:uiPriority w:val="99"/>
    <w:rPr>
      <w:rFonts w:ascii="Calibri" w:hAnsi="Calibri" w:eastAsia="Times New Roman" w:cs="Times New Roman"/>
      <w:lang w:eastAsia="ru-RU"/>
    </w:rPr>
  </w:style>
  <w:style w:type="paragraph" w:styleId="868">
    <w:name w:val="Balloon Text"/>
    <w:basedOn w:val="854"/>
    <w:link w:val="8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856"/>
    <w:link w:val="86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70">
    <w:name w:val="annotation reference"/>
    <w:basedOn w:val="856"/>
    <w:uiPriority w:val="99"/>
    <w:semiHidden/>
    <w:unhideWhenUsed/>
    <w:rPr>
      <w:sz w:val="16"/>
      <w:szCs w:val="16"/>
    </w:rPr>
  </w:style>
  <w:style w:type="paragraph" w:styleId="871">
    <w:name w:val="annotation text"/>
    <w:basedOn w:val="854"/>
    <w:link w:val="872"/>
    <w:uiPriority w:val="99"/>
    <w:unhideWhenUsed/>
    <w:pPr>
      <w:spacing w:line="240" w:lineRule="auto"/>
    </w:pPr>
    <w:rPr>
      <w:sz w:val="20"/>
      <w:szCs w:val="20"/>
    </w:rPr>
  </w:style>
  <w:style w:type="character" w:styleId="872" w:customStyle="1">
    <w:name w:val="Текст примечания Знак"/>
    <w:basedOn w:val="856"/>
    <w:link w:val="871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styleId="873">
    <w:name w:val="Hyperlink"/>
    <w:basedOn w:val="856"/>
    <w:uiPriority w:val="99"/>
    <w:unhideWhenUsed/>
    <w:rPr>
      <w:color w:val="0563c1" w:themeColor="hyperlink"/>
      <w:u w:val="single"/>
    </w:rPr>
  </w:style>
  <w:style w:type="paragraph" w:styleId="874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75">
    <w:name w:val="Revision"/>
    <w:hidden/>
    <w:uiPriority w:val="99"/>
    <w:semiHidden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76">
    <w:name w:val="annotation subject"/>
    <w:basedOn w:val="871"/>
    <w:next w:val="871"/>
    <w:link w:val="877"/>
    <w:uiPriority w:val="99"/>
    <w:semiHidden/>
    <w:unhideWhenUsed/>
    <w:rPr>
      <w:b/>
      <w:bCs/>
    </w:rPr>
  </w:style>
  <w:style w:type="character" w:styleId="877" w:customStyle="1">
    <w:name w:val="Тема примечания Знак"/>
    <w:basedOn w:val="872"/>
    <w:link w:val="876"/>
    <w:uiPriority w:val="99"/>
    <w:semiHidden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878">
    <w:name w:val="Plain Text"/>
    <w:basedOn w:val="854"/>
    <w:link w:val="879"/>
    <w:uiPriority w:val="99"/>
    <w:semiHidden/>
    <w:unhideWhenUsed/>
    <w:pPr>
      <w:spacing w:after="0" w:line="240" w:lineRule="auto"/>
    </w:pPr>
    <w:rPr>
      <w:rFonts w:eastAsiaTheme="minorHAnsi"/>
      <w:lang w:eastAsia="en-US"/>
    </w:rPr>
  </w:style>
  <w:style w:type="character" w:styleId="879" w:customStyle="1">
    <w:name w:val="Текст Знак"/>
    <w:basedOn w:val="856"/>
    <w:link w:val="878"/>
    <w:uiPriority w:val="99"/>
    <w:semiHidden/>
    <w:rPr>
      <w:rFonts w:ascii="Calibri" w:hAnsi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Будницкий Дмитрий</dc:creator>
  <cp:keywords/>
  <dc:description/>
  <cp:lastModifiedBy>mariya.dorosh</cp:lastModifiedBy>
  <cp:revision>30</cp:revision>
  <dcterms:created xsi:type="dcterms:W3CDTF">2025-09-25T11:15:00Z</dcterms:created>
  <dcterms:modified xsi:type="dcterms:W3CDTF">2026-04-14T13:22:31Z</dcterms:modified>
</cp:coreProperties>
</file>