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>ПОЯСНИТЕЛЬНАЯ ЗАПИСКА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к проекту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>постановления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>Правительства Российской Федерации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>(далее – проект постановления)</w:t>
      </w:r>
    </w:p>
    <w:p>
      <w:pPr>
        <w:pStyle w:val="style0"/>
        <w:spacing w:after="0" w:lineRule="auto" w:line="264"/>
        <w:jc w:val="center"/>
        <w:contextualSpacing/>
        <w:rPr>
          <w:rFonts w:ascii="Times New Roman" w:cs="Times New Roman" w:eastAsia="Calibri" w:hAnsi="Times New Roman"/>
          <w:bCs/>
          <w:sz w:val="28"/>
          <w:szCs w:val="28"/>
          <w:u w:color="00000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Проект постановления разработан в инициативном порядке в соответствии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с пунктом 18 Положения о мерах по обеспечению исполнения федерального бюджета, утвержденного постановлением Правительства Российской Федерации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от 9 декабря 2017 г. № 1496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О мерах по обеспечению исполнения федерального бюджета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(далее – Положение № 1496), согласно которому получатели средств федерального бюджета вправе предусматривать в договорах (государственных контрактах) о поставке товаров, выполнении работ, об оказании услуг авансовые платежи в размере и порядке, которые установлены указанным пунктом Положения № 1496, если иное не установлено федеральными законами, указами Президента Российской Федерации, Положением № 1496 или иным нормативным правовым актом Правительства Российской Федерации для такого государственного контракта, но не более лимитов бюджетных обязательств на соответствующий финансовый год, доведенных до них в установленном порядке на соответствующие цели.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Пунктом 1 проекта постановления предлагается установить, что ППК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Единый заказчик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при исполнении государственного контракта от 5 сентября 2022 г.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№ 0995400000222000066 (реестровый номер 1770744825522000089) на выполнение работ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на выполнение работ по объекту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Строительство лечебного корпуса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на 240 койко-мест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федерального казенного учреждения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Орловская психиатрическая больница (стационар) специализированного типа с интенсивным наблюдением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Министерства здравоохранения Российской Федерации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(далее – Контракт, Объект)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вправе предусмотреть авансовые платежи в размере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до 70 процентов цены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К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онтракта, но не более лимитов бюджетных обязательств, доведенных до ППК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Единый заказчик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на указанные цели на соответствующий финансовый год.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Пунктом 2 проекта постановления предлагается наделить ППК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Единый заказчик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правом в соответствии с частью 1 статьи 111 Федерального закона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от 5 апреля 2013 г. № 44-ФЗ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по соглашению сторон внести в указанный в пункте 1 проекта постановления Контракт изменения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в части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, касающейся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увеличения размера авансового платежа до размера, определенного в соответствии с пунктом 1 проекта постановления.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Согласно абзацу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4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подпункта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и подпункту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б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пункта 18 Положения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№ 1496 размеры авансирования государственных контрактов ограничены: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50 процентами от суммы заключенного государственного контракта, при наличии в указанн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ом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государственн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ом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контракт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е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, а также в контрактах (договорах), заключаемых в рамках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его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исполнения, условия об осуществлении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территориальными органами Федерального казначейства казначейского сопровождения указанных авансовых платежей в порядке, установленном Правительством Российской Федерации, и в случаях, определенных бюджетным законодательством Российской Федерации;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70 процентами при условии подтверждения факта выполненных работ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в соответствующем размере.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Исходя из анализа правоприменительной практики, обусловившей необходимость изменения правового регулирования, при уста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новлении авансовых платежей до 7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0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процентов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цены указанного государственного контракта требуется принятие решения Правительства Российской Федерации в форме нормативного правового акта Правительства Российской Федерации.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Строительство Объекта осуществляется в рамках комплексной государственной программы Российской Федерации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Строительство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, утвержденной распоряжением Правительства Российской Федерации от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7 февраля 2023 г. № 267-р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(далее – Государственная программа).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Государственным заказчиком и главным распорядителем средств федерального бюджета в отношении Объекта является ППК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Единый заказчик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П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о итогу проведения конкурсных процедур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исполнителем работ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в отношении 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бъект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определено общество с ограниченной ответственностью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Элтонстрой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 xml:space="preserve">ИНН </w:t>
      </w:r>
      <w:r>
        <w:rPr>
          <w:rFonts w:ascii="Times New Roman" w:cs="Times New Roman" w:hAnsi="Times New Roman"/>
          <w:sz w:val="28"/>
          <w:szCs w:val="28"/>
        </w:rPr>
        <w:t>3003006341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bdr w:val="none" w:sz="0" w:space="0" w:color="auto" w:frame="true"/>
          <w:lang w:eastAsia="ru-RU"/>
        </w:rPr>
        <w:t>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i/>
          <w:iCs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Ко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нтрактом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исполнение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обязательств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по Объекту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предусмотрено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не позднее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br/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23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декабр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я 202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6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г.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Планируемый с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рок ввода Объекта в эксплуатацию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2026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год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Це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на Контракта – 1 094,4 млн</w:t>
      </w: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 xml:space="preserve"> руб.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i/>
          <w:iCs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Calibri" w:hAnsi="Times New Roman"/>
          <w:sz w:val="28"/>
          <w:szCs w:val="28"/>
        </w:rPr>
        <w:t xml:space="preserve">По Контракту выплата аванса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производится в размере 50 (пятьдесят) % от цены Контракта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0" w:space="0" w:color="auto" w:frame="true"/>
          <w:lang w:eastAsia="ru-RU"/>
        </w:rPr>
        <w:t>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Во избежание срыва сроков завершения работ по Объекту, повышения закупочных цен, а также учитывая длительные сроки поставок, требуется предварительная выплата аванса на следующие позиции: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76"/>
        <w:ind w:firstLine="709"/>
        <w:jc w:val="both"/>
        <w:contextualSpacing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0" w:space="0" w:color="auto" w:frame="true"/>
          <w:lang w:eastAsia="ru-RU"/>
        </w:rPr>
        <w:t>- т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ехнологическое оборудование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слаботочные сети, внутренние сети электроснабжения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и электроосвещения (оборудование системы автоматической пожарной сигнализации, системы оповещения и управления эвакуацией людей при пожаре, системы охранного видеонаблюдения, системы контроля и управления доступом, вызывной сигнализации, системы локальной вычислительной (структурированной) сети,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лифты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дизельная электростанция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): поставка 3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4 мес.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;</w:t>
      </w:r>
    </w:p>
    <w:p>
      <w:pPr>
        <w:pStyle w:val="style179"/>
        <w:widowControl w:val="false"/>
        <w:tabs>
          <w:tab w:val="left" w:leader="none" w:pos="993"/>
        </w:tabs>
        <w:spacing w:after="0" w:lineRule="auto" w:line="276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pacing w:val="-4"/>
          <w:sz w:val="28"/>
          <w:szCs w:val="28"/>
          <w:lang w:eastAsia="ru-RU"/>
        </w:rPr>
        <w:t>- и</w:t>
      </w:r>
      <w:r>
        <w:rPr>
          <w:rFonts w:ascii="Times New Roman" w:cs="Times New Roman" w:eastAsia="Times New Roman" w:hAnsi="Times New Roman"/>
          <w:spacing w:val="-4"/>
          <w:sz w:val="28"/>
          <w:szCs w:val="28"/>
          <w:lang w:eastAsia="ru-RU"/>
        </w:rPr>
        <w:t>нженерные системы (</w:t>
      </w:r>
      <w:r>
        <w:rPr>
          <w:rFonts w:ascii="Times New Roman" w:cs="Times New Roman" w:eastAsia="Times New Roman" w:hAnsi="Times New Roman"/>
          <w:spacing w:val="-4"/>
          <w:sz w:val="28"/>
          <w:szCs w:val="28"/>
          <w:lang w:eastAsia="ru-RU"/>
        </w:rPr>
        <w:t>отопление, водоотведение</w:t>
      </w:r>
      <w:r>
        <w:rPr>
          <w:rFonts w:ascii="Times New Roman" w:cs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pacing w:val="-4"/>
          <w:sz w:val="28"/>
          <w:szCs w:val="28"/>
          <w:lang w:eastAsia="ru-RU"/>
        </w:rPr>
        <w:t>наружные сети электроснабжения и электроосвещения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– поставка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и работы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2–4 мес.</w:t>
      </w:r>
    </w:p>
    <w:p>
      <w:pPr>
        <w:pStyle w:val="style179"/>
        <w:widowControl w:val="false"/>
        <w:tabs>
          <w:tab w:val="left" w:leader="none" w:pos="993"/>
        </w:tabs>
        <w:spacing w:after="0" w:lineRule="auto" w:line="276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- о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тделочные материалы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металлокассеты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фасадные, двери,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керамогранитная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и керамическая плитка, линолеум, подвесные потолки, кровля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бортовые камни щебень,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геотекстиль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, ограждение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: поставка 2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3 мес.</w:t>
      </w:r>
    </w:p>
    <w:bookmarkStart w:id="0" w:name="_GoBack"/>
    <w:bookmarkEnd w:id="0"/>
    <w:p>
      <w:pPr>
        <w:pStyle w:val="style179"/>
        <w:widowControl w:val="false"/>
        <w:tabs>
          <w:tab w:val="left" w:leader="none" w:pos="993"/>
        </w:tabs>
        <w:spacing w:after="0" w:lineRule="auto" w:line="276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widowControl w:val="false"/>
        <w:spacing w:after="0" w:lineRule="auto" w:line="276"/>
        <w:ind w:firstLine="709"/>
        <w:jc w:val="both"/>
        <w:contextualSpacing/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t xml:space="preserve">Увеличение авансирования по Объекту в размере до 70% от цены Контракта позволит осуществить закупку необходимого оборудования и строительных материалов, обеспечив непрерывный цикл выполнения строительно-монтажных работ, а также сократить сроки завершения таких работ (приблизительно </w:t>
      </w: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br/>
      </w: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t>на 1-2 месяца).</w:t>
      </w:r>
    </w:p>
    <w:p>
      <w:pPr>
        <w:pStyle w:val="style0"/>
        <w:widowControl w:val="false"/>
        <w:spacing w:after="0" w:lineRule="auto" w:line="276"/>
        <w:ind w:firstLine="709"/>
        <w:jc w:val="both"/>
        <w:contextualSpacing/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t>Средства аванса будут выплачены в 2026 году и направлены преимущественно на закупку оборудования и материалов.</w:t>
      </w:r>
    </w:p>
    <w:p>
      <w:pPr>
        <w:pStyle w:val="style0"/>
        <w:widowControl w:val="false"/>
        <w:spacing w:after="0" w:lineRule="auto" w:line="276"/>
        <w:ind w:firstLine="709"/>
        <w:jc w:val="both"/>
        <w:contextualSpacing/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t xml:space="preserve">Обязательства ППК "Единый заказчик" по авансированию подрядчика </w:t>
      </w: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br/>
      </w: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t>будут полностью исполнены, что исключит наличие кредиторской задолженности по состоянию на 31 декабря 2026 г.</w:t>
      </w:r>
    </w:p>
    <w:p>
      <w:pPr>
        <w:pStyle w:val="style0"/>
        <w:widowControl w:val="false"/>
        <w:spacing w:after="0" w:lineRule="auto" w:line="276"/>
        <w:ind w:firstLine="709"/>
        <w:jc w:val="both"/>
        <w:contextualSpacing/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t xml:space="preserve">Объем бюджетных ассигнований по Объекту в соответствии со сводной бюджетной росписью, доведенных до ППК "Единый заказчик", составляет </w:t>
      </w: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br/>
      </w: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t>на 2026 год – 350 378,7 тыс. рублей.</w:t>
      </w:r>
    </w:p>
    <w:p>
      <w:pPr>
        <w:pStyle w:val="style0"/>
        <w:widowControl w:val="false"/>
        <w:spacing w:after="0" w:lineRule="auto" w:line="276"/>
        <w:ind w:firstLine="709"/>
        <w:jc w:val="both"/>
        <w:contextualSpacing/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cs="Times New Roman" w:eastAsia="Arial Unicode MS" w:hAnsi="Times New Roman"/>
          <w:sz w:val="28"/>
          <w:szCs w:val="28"/>
          <w:u w:color="000000"/>
          <w:lang w:eastAsia="ru-RU"/>
        </w:rPr>
        <w:t>Принятие проекта постановления не повлечет увеличения расходов федерального бюджета.</w:t>
      </w:r>
    </w:p>
    <w:p>
      <w:pPr>
        <w:pStyle w:val="style0"/>
        <w:widowControl w:val="false"/>
        <w:spacing w:after="0" w:lineRule="auto" w:line="276"/>
        <w:ind w:firstLine="709"/>
        <w:jc w:val="both"/>
        <w:contextualSpacing/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 xml:space="preserve">Проект постановления соответствует положениям </w:t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>д</w:t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>оговора о Евразийском экономическом союзе от 29 мая 2014 г., а также положениям иных международных договоров Российской Федерации.</w:t>
      </w:r>
    </w:p>
    <w:p>
      <w:pPr>
        <w:pStyle w:val="style0"/>
        <w:widowControl w:val="false"/>
        <w:spacing w:after="0" w:lineRule="auto" w:line="276"/>
        <w:ind w:firstLine="709"/>
        <w:jc w:val="both"/>
        <w:contextualSpacing/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>Проект постановления не содержит положений, вводящих избыточные административные, иные ограничения и обязанности для субъектов предпринимательской и иной деятельности или способствующих их введению,</w:t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br/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>а также положений, способствующих возникновению необоснованных расходов субъектов предпринимательской и иной деятельности и бюджетов всех уровней бюджетной системы Российской Федерации.</w:t>
      </w:r>
    </w:p>
    <w:p>
      <w:pPr>
        <w:pStyle w:val="style0"/>
        <w:widowControl w:val="false"/>
        <w:spacing w:after="0" w:lineRule="auto" w:line="276"/>
        <w:ind w:firstLine="709"/>
        <w:jc w:val="both"/>
        <w:contextualSpacing/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 xml:space="preserve">В проекте постановления отсутствует информация о требованиях, которые связаны с осуществлением предпринимательской и иной экономической деятельности, и оценка соблюдения которых осуществляется в рамках государственного контроля (надзора), муниципального контроля, привлечения </w:t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br/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 xml:space="preserve">к административной ответственности, предоставления лицензий и иных разрешений, аккредитации,  оценки соответствия продукции, иных форм оценки и экспертизы </w:t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br/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 xml:space="preserve">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</w:t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br/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>их несоблюдения.</w:t>
      </w:r>
    </w:p>
    <w:p>
      <w:pPr>
        <w:pStyle w:val="style0"/>
        <w:widowControl w:val="false"/>
        <w:spacing w:after="0" w:lineRule="auto" w:line="276"/>
        <w:ind w:firstLine="709"/>
        <w:jc w:val="both"/>
        <w:contextualSpacing/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 xml:space="preserve">Принятие проекта постановления не повлечет негативных социально-экономических, финансовых и иных последствий предлагаемых решений, в том числе для субъектов предпринимательской и иной экономической деятельности </w:t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br/>
      </w:r>
      <w:r>
        <w:rPr>
          <w:rFonts w:ascii="Times New Roman" w:cs="Arial Unicode MS" w:eastAsia="Arial Unicode MS" w:hAnsi="Times New Roman"/>
          <w:sz w:val="28"/>
          <w:szCs w:val="28"/>
          <w:u w:color="000000"/>
          <w:lang w:eastAsia="ru-RU"/>
        </w:rPr>
        <w:t xml:space="preserve">и окажет положительное воздействие на достижение показателей и целей Государственной программы. </w:t>
      </w:r>
    </w:p>
    <w:sectPr>
      <w:headerReference w:type="default" r:id="rId2"/>
      <w:pgSz w:w="11906" w:h="16838" w:orient="portrait"/>
      <w:pgMar w:top="851" w:right="567" w:bottom="851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 Unicode MS"/>
    <w:panose1 w:val="020b0604020002020204"/>
    <w:charset w:val="80"/>
    <w:family w:val="swiss"/>
    <w:pitch w:val="variable"/>
    <w:sig w:usb0="F7FFAEFF" w:usb1="F9DFFFFF" w:usb2="0000007F" w:usb3="00000000" w:csb0="003F01FF" w:csb1="00000000"/>
  </w:font>
  <w:font w:name="Calibri Light">
    <w:altName w:val="Calibri Light"/>
    <w:panose1 w:val="020f0302020002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fldChar w:fldCharType="begin"/>
    </w:r>
    <w:r>
      <w:rPr>
        <w:rFonts w:ascii="Times New Roman" w:cs="Times New Roman" w:hAnsi="Times New Roman"/>
      </w:rPr>
      <w:instrText>PAGE   \* MERGEFORMAT</w:instrText>
    </w:r>
    <w:r>
      <w:rPr>
        <w:rFonts w:ascii="Times New Roman" w:cs="Times New Roman" w:hAnsi="Times New Roman"/>
      </w:rPr>
      <w:fldChar w:fldCharType="separate"/>
    </w:r>
    <w:r>
      <w:rPr>
        <w:rFonts w:ascii="Times New Roman" w:cs="Times New Roman" w:hAnsi="Times New Roman"/>
        <w:noProof/>
      </w:rPr>
      <w:t>2</w:t>
    </w:r>
    <w:r>
      <w:rPr>
        <w:rFonts w:ascii="Times New Roman" w:cs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0C278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000001"/>
    <w:multiLevelType w:val="hybridMultilevel"/>
    <w:tmpl w:val="1C52BAEC"/>
    <w:lvl w:ilvl="0" w:tplc="C2EEC8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6EA608C"/>
    <w:lvl w:ilvl="0" w:tplc="722A536C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">
    <w:nsid w:val="00000003"/>
    <w:multiLevelType w:val="hybridMultilevel"/>
    <w:tmpl w:val="891EE5B8"/>
    <w:lvl w:ilvl="0" w:tplc="3BD86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0000004"/>
    <w:multiLevelType w:val="hybridMultilevel"/>
    <w:tmpl w:val="794848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0000005"/>
    <w:multiLevelType w:val="hybridMultilevel"/>
    <w:tmpl w:val="1BA4CCCE"/>
    <w:lvl w:ilvl="0" w:tplc="3DB4A0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0000006"/>
    <w:multiLevelType w:val="hybridMultilevel"/>
    <w:tmpl w:val="325AFE32"/>
    <w:lvl w:ilvl="0" w:tplc="69A4149E">
      <w:start w:val="2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00000007"/>
    <w:multiLevelType w:val="hybridMultilevel"/>
    <w:tmpl w:val="D3B8D7CA"/>
    <w:lvl w:ilvl="0" w:tplc="A22AD4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D32C19E"/>
    <w:lvl w:ilvl="0" w:tplc="DE1EB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0000009"/>
    <w:multiLevelType w:val="hybridMultilevel"/>
    <w:tmpl w:val="FDD8CA08"/>
    <w:lvl w:ilvl="0" w:tplc="A22AD4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link w:val="style4100"/>
    <w:qFormat/>
    <w:uiPriority w:val="99"/>
    <w:pPr>
      <w:ind w:left="720"/>
      <w:contextualSpacing/>
    </w:pPr>
    <w:rPr/>
  </w:style>
  <w:style w:type="paragraph" w:styleId="style178">
    <w:name w:val="Revision"/>
    <w:next w:val="style178"/>
    <w:uiPriority w:val="99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Абзац списка Знак"/>
    <w:next w:val="style4100"/>
    <w:link w:val="style179"/>
    <w:uiPriority w:val="99"/>
  </w:style>
  <w:style w:type="character" w:customStyle="1" w:styleId="style4101">
    <w:name w:val="markdown-word"/>
    <w:basedOn w:val="style65"/>
    <w:next w:val="style410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880</Words>
  <Pages>3</Pages>
  <Characters>6593</Characters>
  <Application>WPS Office</Application>
  <DocSecurity>0</DocSecurity>
  <Paragraphs>35</Paragraphs>
  <ScaleCrop>false</ScaleCrop>
  <LinksUpToDate>false</LinksUpToDate>
  <CharactersWithSpaces>7476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2026-04-16T21:31:43Z</dcterms:created>
  <dc:creator>Никонова Ольга Сергеевна</dc:creator>
  <lastModifiedBy>21051182G</lastModifiedBy>
  <lastPrinted>2025-06-02T13:16:00Z</lastPrinted>
  <dcterms:modified xsi:type="dcterms:W3CDTF">2026-04-16T21:31:43Z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838bf0118b1c4b44b5a11e36b750424a</vt:lpwstr>
  </property>
</Properties>
</file>