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4819" w:after="0"/>
        <w:jc w:val="center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57" w:after="57"/>
        <w:jc w:val="center"/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  <w:t>Об утверждении тарифов на услуги по транспортировке газа</w:t>
        <w:br/>
        <w:t>по газораспределительным сетям АО «Алтайские инженерные системы»</w:t>
        <w:br/>
        <w:t xml:space="preserve"> на территории Алтайского края</w:t>
      </w:r>
    </w:p>
    <w:p>
      <w:pPr>
        <w:pStyle w:val="Normal"/>
        <w:spacing w:lineRule="auto" w:line="240" w:before="57" w:after="57"/>
        <w:jc w:val="center"/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360" w:before="0" w:after="0"/>
        <w:jc w:val="both"/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  <w:tab/>
        <w:t>В соответствии со статьей 23 Федерального закона от 31 марта 1999 г.</w:t>
        <w:br/>
        <w:t>№ 69-ФЗ «О газоснабжении в Российской Федерации», подпунктом «г» пункта 4 и подпунктом «г» пункта 7 Основных положений формирования и государственного регулировани</w:t>
      </w: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  <w:t>я</w:t>
      </w: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  <w:t xml:space="preserve"> цен на газ, тарифов на услуги по его 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 магистральным газопроводам строящихся и реконструируемых газопроводов, предназначенных для транспортировки газа от магистральных газопроводов до объектов капитального строительства, и газопроводов, предназначенных для транспортировки газа от месторождений природного газа до магистрального газопровода, </w:t>
      </w: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  <w:t>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оборудования,</w:t>
      </w: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  <w:t xml:space="preserve"> утвержденных постановлением Правительства Российской Федерации от 29 декабря 2000 г. № 1021, пунктом 1 Положения о Федеральной антимонопольной службе, утвержденного постановлением Правительства Российской Федерации от 30 июня 2004 г. № 331,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п р и к а з ы в а ю: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sz w:val="28"/>
          <w:szCs w:val="28"/>
          <w:shd w:fill="auto" w:val="clear"/>
        </w:rPr>
      </w:pPr>
      <w:r>
        <w:rPr>
          <w:b w:val="false"/>
          <w:bCs w:val="false"/>
          <w:kern w:val="0"/>
          <w:sz w:val="28"/>
          <w:szCs w:val="28"/>
          <w:shd w:fill="auto" w:val="clear"/>
        </w:rPr>
        <w:t>1. Утвердить тарифы на услуги по транспортировке газа по газораспределительным сетя</w:t>
      </w:r>
      <w:r>
        <w:rPr>
          <w:b w:val="false"/>
          <w:bCs w:val="false"/>
          <w:kern w:val="0"/>
          <w:sz w:val="28"/>
          <w:szCs w:val="28"/>
          <w:shd w:fill="auto" w:val="clear"/>
        </w:rPr>
        <w:t>м</w:t>
      </w:r>
      <w:r>
        <w:rPr>
          <w:sz w:val="28"/>
          <w:szCs w:val="28"/>
          <w:shd w:fill="auto" w:val="clear"/>
          <w:lang w:val="ru-RU"/>
        </w:rPr>
        <w:t xml:space="preserve"> </w:t>
      </w:r>
      <w:r>
        <w:rPr>
          <w:sz w:val="28"/>
          <w:szCs w:val="28"/>
          <w:shd w:fill="auto" w:val="clear"/>
          <w:lang w:val="en-US"/>
        </w:rPr>
        <w:t>А</w:t>
      </w:r>
      <w:r>
        <w:rPr>
          <w:sz w:val="28"/>
          <w:szCs w:val="28"/>
          <w:shd w:fill="auto" w:val="clear"/>
          <w:lang w:val="ru-RU"/>
        </w:rPr>
        <w:t>О</w:t>
      </w:r>
      <w:r>
        <w:rPr>
          <w:b w:val="false"/>
          <w:bCs w:val="false"/>
          <w:kern w:val="0"/>
          <w:sz w:val="28"/>
          <w:szCs w:val="28"/>
          <w:shd w:fill="auto" w:val="clear"/>
          <w:lang w:val="ru-RU"/>
        </w:rPr>
        <w:t xml:space="preserve"> «</w:t>
      </w:r>
      <w:r>
        <w:rPr>
          <w:b w:val="false"/>
          <w:bCs w:val="false"/>
          <w:kern w:val="0"/>
          <w:sz w:val="28"/>
          <w:szCs w:val="28"/>
          <w:shd w:fill="auto" w:val="clear"/>
          <w:lang w:val="ru-RU"/>
        </w:rPr>
        <w:t>Алтайские инженерные системы</w:t>
      </w:r>
      <w:r>
        <w:rPr>
          <w:b w:val="false"/>
          <w:bCs w:val="false"/>
          <w:kern w:val="0"/>
          <w:sz w:val="28"/>
          <w:szCs w:val="28"/>
          <w:shd w:fill="auto" w:val="clear"/>
          <w:lang w:val="ru-RU"/>
        </w:rPr>
        <w:t>»</w:t>
        <w:br/>
      </w:r>
      <w:r>
        <w:rPr>
          <w:b w:val="false"/>
          <w:bCs w:val="false"/>
          <w:kern w:val="0"/>
          <w:sz w:val="28"/>
          <w:szCs w:val="28"/>
          <w:shd w:fill="auto" w:val="clear"/>
        </w:rPr>
        <w:t xml:space="preserve">на территории </w:t>
      </w:r>
      <w:r>
        <w:rPr>
          <w:b w:val="false"/>
          <w:bCs w:val="false"/>
          <w:kern w:val="0"/>
          <w:sz w:val="28"/>
          <w:szCs w:val="28"/>
          <w:shd w:fill="auto" w:val="clear"/>
        </w:rPr>
        <w:t>Алтайского края</w:t>
      </w:r>
      <w:r>
        <w:rPr>
          <w:b w:val="false"/>
          <w:bCs w:val="false"/>
          <w:kern w:val="0"/>
          <w:sz w:val="28"/>
          <w:szCs w:val="28"/>
          <w:shd w:fill="auto" w:val="clear"/>
        </w:rPr>
        <w:t xml:space="preserve"> сог</w:t>
      </w:r>
      <w:r>
        <w:rPr>
          <w:b w:val="false"/>
          <w:bCs w:val="false"/>
          <w:kern w:val="0"/>
          <w:sz w:val="28"/>
          <w:szCs w:val="28"/>
          <w:shd w:fill="auto" w:val="clear"/>
        </w:rPr>
        <w:t>ласно приложению к настоящему приказу.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b w:val="false"/>
          <w:bCs w:val="false"/>
          <w:kern w:val="0"/>
          <w:sz w:val="28"/>
          <w:szCs w:val="28"/>
          <w:shd w:fill="auto" w:val="clear"/>
        </w:rPr>
      </w:pPr>
      <w:r>
        <w:rPr>
          <w:b w:val="false"/>
          <w:bCs w:val="false"/>
          <w:kern w:val="0"/>
          <w:sz w:val="28"/>
          <w:szCs w:val="28"/>
          <w:shd w:fill="auto" w:val="clear"/>
        </w:rPr>
        <w:t>2. Тарифы на услуги по транспортировке газа по газораспределительным сетям, утвержденные настоящим приказом, учитываются при формировании цен на газ для потребителей.</w:t>
      </w:r>
    </w:p>
    <w:p>
      <w:pPr>
        <w:pStyle w:val="Normal"/>
        <w:spacing w:lineRule="auto" w:line="240" w:before="0" w:after="0"/>
        <w:jc w:val="left"/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  <w:tab/>
        <w:t>3. Настоящий приказ действует до 1 марта 2029 г.</w:t>
      </w:r>
    </w:p>
    <w:p>
      <w:pPr>
        <w:pStyle w:val="Normal"/>
        <w:spacing w:lineRule="auto" w:line="240" w:before="0" w:after="0"/>
        <w:jc w:val="left"/>
        <w:rPr>
          <w:b w:val="false"/>
          <w:bCs w:val="false"/>
          <w:color w:val="000000"/>
          <w:spacing w:val="0"/>
          <w:kern w:val="0"/>
          <w:sz w:val="28"/>
          <w:szCs w:val="28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left"/>
        <w:rPr>
          <w:b w:val="false"/>
          <w:bCs w:val="false"/>
          <w:color w:val="000000"/>
          <w:spacing w:val="0"/>
          <w:kern w:val="0"/>
          <w:sz w:val="28"/>
          <w:szCs w:val="28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05"/>
        <w:gridCol w:w="1744"/>
        <w:gridCol w:w="4389"/>
      </w:tblGrid>
      <w:tr>
        <w:trPr/>
        <w:tc>
          <w:tcPr>
            <w:tcW w:w="3805" w:type="dxa"/>
            <w:tcBorders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fldChar w:fldCharType="begin"/>
            </w:r>
            <w:r>
              <w:rPr>
                <w:sz w:val="28"/>
                <w:shd w:fill="auto" w:val="clear"/>
                <w:szCs w:val="28"/>
              </w:rPr>
              <w:instrText xml:space="preserve"> DOCVARIABLE PredsedatelDolj </w:instrText>
            </w:r>
            <w:r>
              <w:rPr>
                <w:sz w:val="28"/>
                <w:shd w:fill="auto" w:val="clear"/>
                <w:szCs w:val="28"/>
              </w:rPr>
              <w:fldChar w:fldCharType="separate"/>
            </w:r>
            <w:r>
              <w:rPr>
                <w:sz w:val="28"/>
                <w:shd w:fill="auto" w:val="clear"/>
                <w:szCs w:val="28"/>
              </w:rPr>
              <w:t>Руководитель</w:t>
            </w:r>
            <w:r>
              <w:rPr>
                <w:sz w:val="28"/>
                <w:shd w:fill="auto" w:val="clear"/>
                <w:szCs w:val="28"/>
              </w:rPr>
              <w:fldChar w:fldCharType="end"/>
            </w:r>
          </w:p>
        </w:tc>
        <w:tc>
          <w:tcPr>
            <w:tcW w:w="1744" w:type="dxa"/>
            <w:tcBorders/>
          </w:tcPr>
          <w:p>
            <w:pPr>
              <w:pStyle w:val="Normal"/>
              <w:jc w:val="righ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righ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  <w:tc>
          <w:tcPr>
            <w:tcW w:w="4389" w:type="dxa"/>
            <w:tcBorders/>
          </w:tcPr>
          <w:p>
            <w:pPr>
              <w:pStyle w:val="Normal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fldChar w:fldCharType="begin"/>
            </w:r>
            <w:r>
              <w:rPr>
                <w:sz w:val="28"/>
                <w:shd w:fill="auto" w:val="clear"/>
                <w:szCs w:val="28"/>
              </w:rPr>
              <w:instrText xml:space="preserve"> DOCVARIABLE PredsedatelIOF </w:instrText>
            </w:r>
            <w:r>
              <w:rPr>
                <w:sz w:val="28"/>
                <w:shd w:fill="auto" w:val="clear"/>
                <w:szCs w:val="28"/>
              </w:rPr>
              <w:fldChar w:fldCharType="separate"/>
            </w:r>
            <w:r>
              <w:rPr>
                <w:sz w:val="28"/>
                <w:shd w:fill="auto" w:val="clear"/>
                <w:szCs w:val="28"/>
              </w:rPr>
              <w:t>М.А. Шаскольский</w:t>
            </w:r>
            <w:r>
              <w:rPr>
                <w:sz w:val="28"/>
                <w:shd w:fill="auto" w:val="clear"/>
                <w:szCs w:val="28"/>
              </w:rPr>
              <w:fldChar w:fldCharType="end"/>
            </w:r>
          </w:p>
        </w:tc>
      </w:tr>
      <w:tr>
        <w:trPr/>
        <w:tc>
          <w:tcPr>
            <w:tcW w:w="3805" w:type="dxa"/>
            <w:tcBorders/>
          </w:tcPr>
          <w:p>
            <w:pPr>
              <w:pStyle w:val="Style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44" w:type="dxa"/>
            <w:tcBorders/>
          </w:tcPr>
          <w:p>
            <w:pPr>
              <w:pStyle w:val="Style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89" w:type="dxa"/>
            <w:tcBorders/>
          </w:tcPr>
          <w:p>
            <w:pPr>
              <w:pStyle w:val="Style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417" w:right="567" w:gutter="0" w:header="737" w:top="1296" w:footer="1134" w:bottom="1693"/>
          <w:pgNumType w:fmt="decimal"/>
          <w:formProt w:val="false"/>
          <w:titlePg/>
          <w:textDirection w:val="lrTb"/>
          <w:docGrid w:type="default" w:linePitch="312" w:charSpace="4294961151"/>
        </w:sect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tLeast" w:line="0" w:before="0" w:after="0"/>
        <w:jc w:val="right"/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  <w:t>Приложение</w:t>
      </w:r>
    </w:p>
    <w:p>
      <w:pPr>
        <w:pStyle w:val="Normal"/>
        <w:spacing w:lineRule="atLeast" w:line="0" w:before="0" w:after="0"/>
        <w:jc w:val="right"/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</w:r>
    </w:p>
    <w:p>
      <w:pPr>
        <w:pStyle w:val="Normal"/>
        <w:spacing w:lineRule="atLeast" w:line="0" w:before="0" w:after="0"/>
        <w:jc w:val="right"/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  <w:t xml:space="preserve">Утверждены </w:t>
      </w:r>
    </w:p>
    <w:p>
      <w:pPr>
        <w:pStyle w:val="Normal"/>
        <w:spacing w:lineRule="atLeast" w:line="0" w:before="0" w:after="0"/>
        <w:jc w:val="right"/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  <w:t>приказом</w:t>
      </w: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  <w:t xml:space="preserve"> ФАС России</w:t>
      </w:r>
    </w:p>
    <w:p>
      <w:pPr>
        <w:pStyle w:val="Normal"/>
        <w:spacing w:lineRule="atLeast" w:line="0" w:before="0" w:after="0"/>
        <w:jc w:val="right"/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  <w:t>от ___________ №______</w:t>
      </w:r>
    </w:p>
    <w:p>
      <w:pPr>
        <w:pStyle w:val="Normal"/>
        <w:spacing w:lineRule="auto" w:line="240" w:before="0" w:after="0"/>
        <w:jc w:val="right"/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shd w:fill="auto" w:val="clear"/>
          <w:lang w:val="ru-RU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  <w:t>Т</w:t>
      </w:r>
      <w:r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  <w:t>ариф</w:t>
      </w:r>
      <w:r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  <w:t>ы</w:t>
      </w:r>
      <w:r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  <w:t xml:space="preserve"> на услуги по транспортировке газа по газораспределительным сетям </w:t>
      </w:r>
      <w:r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  <w:t>АО</w:t>
      </w:r>
      <w:r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  <w:t xml:space="preserve"> «</w:t>
      </w:r>
      <w:r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  <w:t>Алтайские инженерные системы</w:t>
      </w:r>
      <w:r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  <w:t xml:space="preserve">» </w:t>
      </w:r>
      <w:r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  <w:t xml:space="preserve">на территории </w:t>
      </w:r>
      <w:r>
        <w:rPr>
          <w:b/>
          <w:bCs/>
          <w:color w:val="000000"/>
          <w:spacing w:val="0"/>
          <w:kern w:val="0"/>
          <w:sz w:val="28"/>
          <w:szCs w:val="28"/>
          <w:shd w:fill="auto" w:val="clear"/>
          <w:lang w:val="ru-RU"/>
        </w:rPr>
        <w:t>Алтайского края</w:t>
      </w:r>
    </w:p>
    <w:p>
      <w:pPr>
        <w:pStyle w:val="Normal"/>
        <w:spacing w:lineRule="auto" w:line="240" w:before="0" w:after="0"/>
        <w:jc w:val="right"/>
        <w:rPr>
          <w:b w:val="false"/>
          <w:bCs w:val="false"/>
          <w:color w:val="000000"/>
          <w:spacing w:val="0"/>
          <w:kern w:val="0"/>
          <w:sz w:val="19"/>
          <w:szCs w:val="19"/>
          <w:shd w:fill="auto" w:val="clear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19"/>
          <w:szCs w:val="19"/>
          <w:shd w:fill="auto" w:val="clear"/>
          <w:lang w:val="ru-RU"/>
        </w:rPr>
      </w:r>
    </w:p>
    <w:tbl>
      <w:tblPr>
        <w:tblW w:w="15720" w:type="dxa"/>
        <w:jc w:val="left"/>
        <w:tblInd w:w="-3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5"/>
        <w:gridCol w:w="1530"/>
        <w:gridCol w:w="1425"/>
        <w:gridCol w:w="1365"/>
        <w:gridCol w:w="1590"/>
        <w:gridCol w:w="1305"/>
        <w:gridCol w:w="1410"/>
        <w:gridCol w:w="1695"/>
        <w:gridCol w:w="1650"/>
        <w:gridCol w:w="2565"/>
      </w:tblGrid>
      <w:tr>
        <w:trPr>
          <w:trHeight w:val="450" w:hRule="atLeast"/>
        </w:trPr>
        <w:tc>
          <w:tcPr>
            <w:tcW w:w="131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Тарифы на услуги по транспортировке газа по газораспределительным сетям (руб./1000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>3</w:t>
            </w:r>
            <w:r>
              <w:rPr>
                <w:color w:val="000000"/>
                <w:sz w:val="19"/>
                <w:szCs w:val="19"/>
                <w:shd w:fill="auto" w:val="clear"/>
              </w:rPr>
              <w:t>) по группам потребителей с объемом потребления газа (млн.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>3</w:t>
            </w:r>
            <w:r>
              <w:rPr>
                <w:color w:val="000000"/>
                <w:sz w:val="19"/>
                <w:szCs w:val="19"/>
                <w:shd w:fill="auto" w:val="clear"/>
              </w:rPr>
              <w:t>/год)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 xml:space="preserve">Тариф на услуги по транспортировке газа в транзитном потоке </w:t>
              <w:br/>
              <w:t>(руб./1000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>3</w:t>
            </w:r>
            <w:r>
              <w:rPr>
                <w:color w:val="000000"/>
                <w:sz w:val="19"/>
                <w:szCs w:val="19"/>
                <w:shd w:fill="auto" w:val="clear"/>
              </w:rPr>
              <w:t>)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 xml:space="preserve"> 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>1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 xml:space="preserve"> 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свыше 1 млрд.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>3</w:t>
            </w:r>
            <w:r>
              <w:rPr>
                <w:color w:val="000000"/>
                <w:sz w:val="19"/>
                <w:szCs w:val="19"/>
                <w:shd w:fill="auto" w:val="clear"/>
              </w:rPr>
              <w:t xml:space="preserve"> в год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от 500 млн.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>3</w:t>
            </w:r>
            <w:r>
              <w:rPr>
                <w:color w:val="000000"/>
                <w:sz w:val="19"/>
                <w:szCs w:val="19"/>
                <w:shd w:fill="auto" w:val="clear"/>
              </w:rPr>
              <w:t xml:space="preserve"> в год</w:t>
              <w:br/>
              <w:t>до 1 млрд.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>3</w:t>
            </w:r>
            <w:r>
              <w:rPr>
                <w:color w:val="000000"/>
                <w:sz w:val="19"/>
                <w:szCs w:val="19"/>
                <w:shd w:fill="auto" w:val="clear"/>
              </w:rPr>
              <w:t xml:space="preserve"> в год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от 100 млн.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 xml:space="preserve">3 </w:t>
            </w:r>
            <w:r>
              <w:rPr>
                <w:color w:val="000000"/>
                <w:sz w:val="19"/>
                <w:szCs w:val="19"/>
                <w:shd w:fill="auto" w:val="clear"/>
              </w:rPr>
              <w:t>до 500 млн.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 xml:space="preserve">3 </w:t>
            </w:r>
            <w:r>
              <w:rPr>
                <w:color w:val="000000"/>
                <w:sz w:val="19"/>
                <w:szCs w:val="19"/>
                <w:shd w:fill="auto" w:val="clear"/>
              </w:rPr>
              <w:t xml:space="preserve"> </w:t>
            </w:r>
            <w:r>
              <w:rPr>
                <w:color w:val="000000"/>
                <w:sz w:val="19"/>
                <w:szCs w:val="19"/>
                <w:shd w:fill="auto" w:val="clear"/>
              </w:rPr>
              <w:t xml:space="preserve">в год </w:t>
            </w:r>
            <w:r>
              <w:rPr>
                <w:color w:val="000000"/>
                <w:sz w:val="19"/>
                <w:szCs w:val="19"/>
                <w:shd w:fill="auto" w:val="clear"/>
              </w:rPr>
              <w:t>включительно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от 10 млн.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 xml:space="preserve">3 </w:t>
            </w:r>
            <w:r>
              <w:rPr>
                <w:color w:val="000000"/>
                <w:sz w:val="19"/>
                <w:szCs w:val="19"/>
                <w:shd w:fill="auto" w:val="clear"/>
              </w:rPr>
              <w:t>до 100 млн.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 xml:space="preserve">3 </w:t>
            </w:r>
            <w:r>
              <w:rPr>
                <w:color w:val="000000"/>
                <w:position w:val="0"/>
                <w:sz w:val="19"/>
                <w:sz w:val="19"/>
                <w:szCs w:val="19"/>
                <w:shd w:fill="auto" w:val="clear"/>
                <w:vertAlign w:val="baseline"/>
              </w:rPr>
              <w:t xml:space="preserve">в год </w:t>
            </w:r>
            <w:r>
              <w:rPr>
                <w:color w:val="000000"/>
                <w:sz w:val="19"/>
                <w:szCs w:val="19"/>
                <w:shd w:fill="auto" w:val="clear"/>
              </w:rPr>
              <w:t>включительно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от 1 млн.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 xml:space="preserve">3 </w:t>
              <w:br/>
            </w:r>
            <w:r>
              <w:rPr>
                <w:color w:val="000000"/>
                <w:sz w:val="19"/>
                <w:szCs w:val="19"/>
                <w:shd w:fill="auto" w:val="clear"/>
              </w:rPr>
              <w:t>до 10 млн.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>3</w:t>
            </w:r>
            <w:r>
              <w:rPr>
                <w:color w:val="000000"/>
                <w:position w:val="0"/>
                <w:sz w:val="19"/>
                <w:sz w:val="19"/>
                <w:szCs w:val="19"/>
                <w:shd w:fill="auto" w:val="clear"/>
                <w:vertAlign w:val="baseline"/>
              </w:rPr>
              <w:t xml:space="preserve"> </w:t>
              <w:br/>
            </w:r>
            <w:r>
              <w:rPr>
                <w:color w:val="000000"/>
                <w:position w:val="0"/>
                <w:sz w:val="19"/>
                <w:sz w:val="19"/>
                <w:szCs w:val="19"/>
                <w:shd w:fill="auto" w:val="clear"/>
                <w:vertAlign w:val="baseline"/>
              </w:rPr>
              <w:t xml:space="preserve">в год </w:t>
            </w:r>
            <w:r>
              <w:rPr>
                <w:color w:val="000000"/>
                <w:sz w:val="19"/>
                <w:szCs w:val="19"/>
                <w:shd w:fill="auto" w:val="clear"/>
              </w:rPr>
              <w:t>включительно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о</w:t>
            </w:r>
            <w:r>
              <w:rPr>
                <w:color w:val="000000"/>
                <w:sz w:val="19"/>
                <w:szCs w:val="19"/>
                <w:shd w:fill="auto" w:val="clear"/>
              </w:rPr>
              <w:t>т 0,1 млн.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>3</w:t>
            </w:r>
            <w:r>
              <w:rPr>
                <w:color w:val="000000"/>
                <w:sz w:val="19"/>
                <w:szCs w:val="19"/>
                <w:shd w:fill="auto" w:val="clear"/>
              </w:rPr>
              <w:t xml:space="preserve"> до 1 млн.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>3</w:t>
            </w:r>
            <w:r>
              <w:rPr>
                <w:color w:val="000000"/>
                <w:sz w:val="19"/>
                <w:szCs w:val="19"/>
                <w:shd w:fill="auto" w:val="clear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position w:val="0"/>
                <w:sz w:val="19"/>
                <w:sz w:val="19"/>
                <w:szCs w:val="19"/>
                <w:shd w:fill="auto" w:val="clear"/>
                <w:vertAlign w:val="baseline"/>
              </w:rPr>
              <w:t xml:space="preserve">в год </w:t>
            </w:r>
            <w:r>
              <w:rPr>
                <w:color w:val="000000"/>
                <w:sz w:val="19"/>
                <w:szCs w:val="19"/>
                <w:shd w:fill="auto" w:val="clear"/>
              </w:rPr>
              <w:t>включительно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от 0,01 млн.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 xml:space="preserve">3 </w:t>
            </w:r>
            <w:r>
              <w:rPr>
                <w:color w:val="000000"/>
                <w:sz w:val="19"/>
                <w:szCs w:val="19"/>
                <w:shd w:fill="auto" w:val="clear"/>
              </w:rPr>
              <w:t>до 0,1 млн.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>3</w:t>
            </w:r>
            <w:r>
              <w:rPr>
                <w:color w:val="000000"/>
                <w:position w:val="0"/>
                <w:sz w:val="19"/>
                <w:sz w:val="19"/>
                <w:szCs w:val="19"/>
                <w:shd w:fill="auto" w:val="clear"/>
                <w:vertAlign w:val="baseline"/>
              </w:rPr>
              <w:t xml:space="preserve"> </w:t>
            </w:r>
            <w:r>
              <w:rPr>
                <w:color w:val="000000"/>
                <w:position w:val="0"/>
                <w:sz w:val="19"/>
                <w:sz w:val="19"/>
                <w:szCs w:val="19"/>
                <w:shd w:fill="auto" w:val="clear"/>
                <w:vertAlign w:val="baseline"/>
              </w:rPr>
              <w:t>в год</w:t>
            </w:r>
            <w:r>
              <w:rPr>
                <w:color w:val="000000"/>
                <w:position w:val="0"/>
                <w:sz w:val="19"/>
                <w:sz w:val="19"/>
                <w:szCs w:val="19"/>
                <w:shd w:fill="auto" w:val="clear"/>
                <w:vertAlign w:val="baseline"/>
              </w:rPr>
              <w:t xml:space="preserve"> </w:t>
            </w:r>
            <w:r>
              <w:rPr>
                <w:color w:val="000000"/>
                <w:sz w:val="19"/>
                <w:szCs w:val="19"/>
                <w:shd w:fill="auto" w:val="clear"/>
              </w:rPr>
              <w:t>включительно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д</w:t>
            </w:r>
            <w:r>
              <w:rPr>
                <w:color w:val="000000"/>
                <w:sz w:val="19"/>
                <w:szCs w:val="19"/>
                <w:shd w:fill="auto" w:val="clear"/>
              </w:rPr>
              <w:t>о 0,01 млн. м</w:t>
            </w:r>
            <w:r>
              <w:rPr>
                <w:color w:val="000000"/>
                <w:sz w:val="19"/>
                <w:szCs w:val="19"/>
                <w:shd w:fill="auto" w:val="clear"/>
                <w:vertAlign w:val="superscript"/>
              </w:rPr>
              <w:t>3</w:t>
            </w:r>
            <w:r>
              <w:rPr>
                <w:color w:val="000000"/>
                <w:position w:val="0"/>
                <w:sz w:val="19"/>
                <w:sz w:val="19"/>
                <w:szCs w:val="19"/>
                <w:shd w:fill="auto" w:val="clear"/>
                <w:vertAlign w:val="baseline"/>
              </w:rPr>
              <w:t xml:space="preserve"> </w:t>
            </w:r>
            <w:r>
              <w:rPr>
                <w:color w:val="000000"/>
                <w:position w:val="0"/>
                <w:sz w:val="19"/>
                <w:sz w:val="19"/>
                <w:szCs w:val="19"/>
                <w:shd w:fill="auto" w:val="clear"/>
                <w:vertAlign w:val="baseline"/>
              </w:rPr>
              <w:t>в год</w:t>
            </w:r>
            <w:r>
              <w:rPr>
                <w:color w:val="000000"/>
                <w:sz w:val="19"/>
                <w:szCs w:val="19"/>
                <w:shd w:fill="auto" w:val="clear"/>
              </w:rPr>
              <w:t xml:space="preserve"> включительно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население</w:t>
            </w:r>
          </w:p>
        </w:tc>
        <w:tc>
          <w:tcPr>
            <w:tcW w:w="2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72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 xml:space="preserve">до 1 </w:t>
            </w:r>
            <w:r>
              <w:rPr>
                <w:color w:val="000000"/>
                <w:sz w:val="19"/>
                <w:szCs w:val="19"/>
                <w:shd w:fill="auto" w:val="clear"/>
              </w:rPr>
              <w:t>октября</w:t>
            </w:r>
            <w:r>
              <w:rPr>
                <w:color w:val="000000"/>
                <w:sz w:val="19"/>
                <w:szCs w:val="19"/>
                <w:shd w:fill="auto" w:val="clear"/>
              </w:rPr>
              <w:t xml:space="preserve"> 202</w:t>
            </w:r>
            <w:r>
              <w:rPr>
                <w:color w:val="000000"/>
                <w:sz w:val="19"/>
                <w:szCs w:val="19"/>
                <w:shd w:fill="auto" w:val="clear"/>
              </w:rPr>
              <w:t>6</w:t>
            </w:r>
            <w:r>
              <w:rPr>
                <w:color w:val="000000"/>
                <w:sz w:val="19"/>
                <w:szCs w:val="19"/>
                <w:shd w:fill="auto" w:val="clear"/>
              </w:rPr>
              <w:t xml:space="preserve"> года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 xml:space="preserve">8 390,2 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</w:tr>
      <w:tr>
        <w:trPr/>
        <w:tc>
          <w:tcPr>
            <w:tcW w:w="1572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 xml:space="preserve">с 1 </w:t>
            </w:r>
            <w:r>
              <w:rPr>
                <w:color w:val="000000"/>
                <w:sz w:val="19"/>
                <w:szCs w:val="19"/>
                <w:shd w:fill="auto" w:val="clear"/>
              </w:rPr>
              <w:t>октября</w:t>
            </w:r>
            <w:r>
              <w:rPr>
                <w:color w:val="000000"/>
                <w:sz w:val="19"/>
                <w:szCs w:val="19"/>
                <w:shd w:fill="auto" w:val="clear"/>
              </w:rPr>
              <w:t xml:space="preserve"> 202</w:t>
            </w:r>
            <w:r>
              <w:rPr>
                <w:color w:val="000000"/>
                <w:sz w:val="19"/>
                <w:szCs w:val="19"/>
                <w:shd w:fill="auto" w:val="clear"/>
              </w:rPr>
              <w:t>6</w:t>
            </w:r>
            <w:r>
              <w:rPr>
                <w:color w:val="000000"/>
                <w:sz w:val="19"/>
                <w:szCs w:val="19"/>
                <w:shd w:fill="auto" w:val="clear"/>
              </w:rPr>
              <w:t xml:space="preserve"> года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 xml:space="preserve">9 363,5 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</w:tr>
      <w:tr>
        <w:trPr/>
        <w:tc>
          <w:tcPr>
            <w:tcW w:w="1572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с 1 июля 202</w:t>
            </w:r>
            <w:r>
              <w:rPr>
                <w:color w:val="000000"/>
                <w:sz w:val="19"/>
                <w:szCs w:val="19"/>
                <w:shd w:fill="auto" w:val="clear"/>
              </w:rPr>
              <w:t>7</w:t>
            </w:r>
            <w:r>
              <w:rPr>
                <w:color w:val="000000"/>
                <w:sz w:val="19"/>
                <w:szCs w:val="19"/>
                <w:shd w:fill="auto" w:val="clear"/>
              </w:rPr>
              <w:t xml:space="preserve"> года</w:t>
            </w:r>
          </w:p>
        </w:tc>
      </w:tr>
      <w:tr>
        <w:trPr>
          <w:trHeight w:val="279" w:hRule="atLeast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 xml:space="preserve">10 402,8 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</w:tr>
      <w:tr>
        <w:trPr/>
        <w:tc>
          <w:tcPr>
            <w:tcW w:w="1572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с 1 июля 202</w:t>
            </w:r>
            <w:r>
              <w:rPr>
                <w:color w:val="000000"/>
                <w:sz w:val="19"/>
                <w:szCs w:val="19"/>
                <w:shd w:fill="auto" w:val="clear"/>
              </w:rPr>
              <w:t>8</w:t>
            </w:r>
            <w:r>
              <w:rPr>
                <w:color w:val="000000"/>
                <w:sz w:val="19"/>
                <w:szCs w:val="19"/>
                <w:shd w:fill="auto" w:val="clear"/>
              </w:rPr>
              <w:t xml:space="preserve"> года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11 131,0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9"/>
                <w:szCs w:val="19"/>
                <w:shd w:fill="auto" w:val="clear"/>
              </w:rPr>
            </w:pPr>
            <w:r>
              <w:rPr>
                <w:color w:val="000000"/>
                <w:sz w:val="19"/>
                <w:szCs w:val="19"/>
                <w:shd w:fill="auto" w:val="clear"/>
              </w:rPr>
              <w:t>-</w:t>
            </w:r>
          </w:p>
        </w:tc>
      </w:tr>
    </w:tbl>
    <w:p>
      <w:pPr>
        <w:pStyle w:val="ListParagraph"/>
        <w:bidi w:val="0"/>
        <w:ind w:left="-283" w:right="-397" w:hanging="0"/>
        <w:jc w:val="both"/>
        <w:rPr>
          <w:sz w:val="19"/>
          <w:szCs w:val="19"/>
          <w:shd w:fill="auto" w:val="clear"/>
        </w:rPr>
      </w:pPr>
      <w:r>
        <w:rPr>
          <w:sz w:val="19"/>
          <w:szCs w:val="19"/>
          <w:shd w:fill="auto" w:val="clear"/>
        </w:rPr>
        <w:t xml:space="preserve"> </w:t>
      </w:r>
      <w:r>
        <w:rPr>
          <w:sz w:val="19"/>
          <w:szCs w:val="19"/>
          <w:shd w:fill="auto" w:val="clear"/>
        </w:rPr>
        <w:t>¹ Пункт 18 Методических указаний по регулированию тарифов на услуги по транспортировке газа по газораспределительным сетям, утвержденных приказом ФСТ России от 15 декабря 2009 г. № 411-э/7 (зарегистрирован Минюстом России 27 января 2010 г., регистрационный № 16076), с изменениями, внесенными приказами ФСТ России от 27 октября 2011 г. № 253-э/3 (зарегистрирован Минюстом России 9 декабря 2011 г., регистрационный № 22532), от 21 декабря 2012 г. № 428-э/5 (зарегистрирован Минюстом России 11 марта 2013 г., регистрационный № 27581), от 27 декабря 2013 г. № 268-э/7 (зарегистрирован Минюстом России 17 февраля 2014 г., регистрационный № 31340), от 31 октября 2014 г. № 242-э/4 (зарегистрирован Минюстом России 3 декабря 2014 г., регистрационный № 35072), приказами ФАС России от 13 мая 2021 г. № 459/21 (зарегистрирован Минюстом России 20 мая 2021 г., регистрационный № 63536), от 6 декабря 2021 г. № 1369/21 (зарегистрирован Минюстом России 24 декабря 2021 г., регистрационный № 66547).</w:t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6838" w:h="11906"/>
      <w:pgMar w:left="1134" w:right="854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</w:r>
    <w:r>
      <mc:AlternateContent>
        <mc:Choice Requires="wps">
          <w:drawing>
            <wp:anchor behindDoc="0" distT="179705" distB="72390" distL="72390" distR="72390" simplePos="0" locked="0" layoutInCell="0" allowOverlap="1" relativeHeight="4">
              <wp:simplePos x="0" y="0"/>
              <wp:positionH relativeFrom="column">
                <wp:posOffset>5080</wp:posOffset>
              </wp:positionH>
              <wp:positionV relativeFrom="paragraph">
                <wp:posOffset>-10160</wp:posOffset>
              </wp:positionV>
              <wp:extent cx="1727835" cy="408940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4089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before="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DOCVARIABLE ProjectNumber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2026-35933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53975" tIns="179705" rIns="179705" bIns="5397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36.05pt;height:32.2pt;mso-wrap-distance-left:5.7pt;mso-wrap-distance-right:5.7pt;mso-wrap-distance-top:14.15pt;mso-wrap-distance-bottom:5.7pt;margin-top:-0.8pt;mso-position-vertical-relative:text;margin-left:0.4pt;mso-position-horizontal-relative:text">
              <v:textbox inset="0.0590277777777778in,0.196527777777778in,0.196527777777778in,0.0590277777777778in">
                <w:txbxContent>
                  <w:p>
                    <w:pPr>
                      <w:pStyle w:val="Style21"/>
                      <w:spacing w:before="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DOCVARIABLE ProjectNumber </w:instrText>
                    </w:r>
                    <w:r>
                      <w:rPr/>
                      <w:fldChar w:fldCharType="separate"/>
                    </w:r>
                    <w:r>
                      <w:rPr/>
                      <w:t>2026-35933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20320</wp:posOffset>
          </wp:positionH>
          <wp:positionV relativeFrom="paragraph">
            <wp:posOffset>32385</wp:posOffset>
          </wp:positionV>
          <wp:extent cx="1296035" cy="280670"/>
          <wp:effectExtent l="0" t="0" r="0" b="0"/>
          <wp:wrapTopAndBottom/>
          <wp:docPr id="2" name="SpdBarcod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dBarcod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yle20"/>
      <w:rPr/>
    </w:pPr>
    <w:r>
      <w:rPr/>
    </w:r>
    <w:r>
      <mc:AlternateContent>
        <mc:Choice Requires="wps">
          <w:drawing>
            <wp:anchor behindDoc="0" distT="179705" distB="72390" distL="72390" distR="72390" simplePos="0" locked="0" layoutInCell="0" allowOverlap="1" relativeHeight="3">
              <wp:simplePos x="0" y="0"/>
              <wp:positionH relativeFrom="column">
                <wp:posOffset>5080</wp:posOffset>
              </wp:positionH>
              <wp:positionV relativeFrom="paragraph">
                <wp:posOffset>138430</wp:posOffset>
              </wp:positionV>
              <wp:extent cx="1727835" cy="40894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4089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before="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DOCVARIABLE ProjectNumber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2026-35933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53975" tIns="179705" rIns="179705" bIns="5397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36.05pt;height:32.2pt;mso-wrap-distance-left:5.7pt;mso-wrap-distance-right:5.7pt;mso-wrap-distance-top:14.15pt;mso-wrap-distance-bottom:5.7pt;margin-top:10.9pt;mso-position-vertical-relative:text;margin-left:0.4pt;mso-position-horizontal-relative:text">
              <v:textbox inset="0.0590277777777778in,0.196527777777778in,0.196527777777778in,0.0590277777777778in">
                <w:txbxContent>
                  <w:p>
                    <w:pPr>
                      <w:pStyle w:val="Style21"/>
                      <w:spacing w:before="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DOCVARIABLE ProjectNumber </w:instrText>
                    </w:r>
                    <w:r>
                      <w:rPr/>
                      <w:fldChar w:fldCharType="separate"/>
                    </w:r>
                    <w:r>
                      <w:rPr/>
                      <w:t>2026-35933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t>3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docVars>
    <w:docVar w:name="ProjectNumber" w:val="2026-35933"/>
    <w:docVar w:name="Annotation" w:val="Об утверждении тарифов на услуги по транспортировке газа по газораспределительным сетям АО &quot;Алтайские инженерные системы&quot; на территории Алтайского края"/>
    <w:docVar w:name="PredsedatelIOF" w:val="М.А. Шаскольский"/>
    <w:docVar w:name="PredsedatelDolj" w:val="Руководитель"/>
    <w:docVar w:name="Name" w:val="Об утверждении тарифов на услуги по транспортировке газа по газораспределительным сетям АО &quot;Алтайские инженерные системы&quot; на территории Алтайского края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0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1">
    <w:name w:val="Содержимое врезки"/>
    <w:basedOn w:val="Style15"/>
    <w:qFormat/>
    <w:pPr/>
    <w:rPr/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Style23">
    <w:name w:val="Header"/>
    <w:basedOn w:val="Style19"/>
    <w:pPr>
      <w:suppressLineNumbers/>
      <w:tabs>
        <w:tab w:val="clear" w:pos="4819"/>
        <w:tab w:val="clear" w:pos="9638"/>
        <w:tab w:val="center" w:pos="4961" w:leader="none"/>
        <w:tab w:val="right" w:pos="9922" w:leader="none"/>
      </w:tabs>
    </w:pPr>
    <w:rPr/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paragraph" w:styleId="Style24">
    <w:name w:val="Верхний колонтитул слева"/>
    <w:basedOn w:val="Style23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317</TotalTime>
  <Application>LibreOffice/7.5.3.2$Windows_X86_64 LibreOffice_project/9f56dff12ba03b9acd7730a5a481eea045e468f3</Application>
  <AppVersion>15.0000</AppVersion>
  <Pages>3</Pages>
  <Words>603</Words>
  <Characters>3337</Characters>
  <CharactersWithSpaces>3879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2020-04-16T22:05:29Z</dcterms:created>
  <dc:creator/>
  <dc:description/>
  <dc:language>ru-RU</dc:language>
  <cp:lastModifiedBy/>
  <dcterms:modified xsi:type="dcterms:W3CDTF">2026-04-02T11:12:40Z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ContentHash">
    <vt:lpwstr>Ag9EpF4tkSVTElXOWatcrQ==</vt:lpwstr>
  </property>
  <property fmtid="{D5CDD505-2E9C-101B-9397-08002B2CF9AE}" pid="3" name="PreviousContentHash">
    <vt:lpwstr>yXgULkbRXVRMKbkZGCJT8w==</vt:lpwstr>
  </property>
</Properties>
</file>