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B7" w:rsidRDefault="00136F9E">
      <w:pPr>
        <w:spacing w:before="4819"/>
        <w:jc w:val="center"/>
      </w:pPr>
      <w:r>
        <w:rPr>
          <w:b/>
          <w:bCs/>
          <w:color w:val="000000"/>
          <w:kern w:val="0"/>
          <w:sz w:val="28"/>
          <w:szCs w:val="28"/>
          <w:lang w:eastAsia="ru-RU"/>
        </w:rPr>
        <w:t xml:space="preserve">О внесении изменений в Порядок определения показателей </w:t>
      </w:r>
      <w:r>
        <w:rPr>
          <w:b/>
          <w:bCs/>
          <w:color w:val="000000"/>
          <w:kern w:val="0"/>
          <w:sz w:val="28"/>
          <w:szCs w:val="28"/>
          <w:lang w:eastAsia="ru-RU"/>
        </w:rPr>
        <w:t>Ц</w:t>
      </w:r>
      <w:r>
        <w:rPr>
          <w:b/>
          <w:bCs/>
          <w:color w:val="000000"/>
          <w:kern w:val="0"/>
          <w:sz w:val="28"/>
          <w:szCs w:val="28"/>
          <w:vertAlign w:val="subscript"/>
          <w:lang w:eastAsia="ru-RU"/>
        </w:rPr>
        <w:t>АК</w:t>
      </w:r>
      <w:r>
        <w:rPr>
          <w:b/>
          <w:bCs/>
          <w:color w:val="000000"/>
          <w:kern w:val="0"/>
          <w:sz w:val="28"/>
          <w:szCs w:val="28"/>
          <w:lang w:eastAsia="ru-RU"/>
        </w:rPr>
        <w:t>, Ц</w:t>
      </w:r>
      <w:r>
        <w:rPr>
          <w:b/>
          <w:bCs/>
          <w:color w:val="000000"/>
          <w:kern w:val="0"/>
          <w:sz w:val="28"/>
          <w:szCs w:val="28"/>
          <w:vertAlign w:val="subscript"/>
          <w:lang w:eastAsia="ru-RU"/>
        </w:rPr>
        <w:t>КС</w:t>
      </w:r>
      <w:r>
        <w:rPr>
          <w:b/>
          <w:bCs/>
          <w:color w:val="000000"/>
          <w:kern w:val="0"/>
          <w:sz w:val="28"/>
          <w:szCs w:val="28"/>
          <w:lang w:eastAsia="ru-RU"/>
        </w:rPr>
        <w:t xml:space="preserve">, </w:t>
      </w:r>
      <w:r w:rsidRPr="007C2C3F">
        <w:rPr>
          <w:b/>
          <w:bCs/>
          <w:color w:val="000000"/>
          <w:kern w:val="0"/>
          <w:sz w:val="28"/>
          <w:szCs w:val="28"/>
          <w:lang w:eastAsia="ru-RU"/>
        </w:rPr>
        <w:t>Ц</w:t>
      </w:r>
      <w:r w:rsidRPr="007C2C3F">
        <w:rPr>
          <w:b/>
          <w:bCs/>
          <w:color w:val="000000"/>
          <w:kern w:val="0"/>
          <w:sz w:val="28"/>
          <w:szCs w:val="28"/>
          <w:vertAlign w:val="subscript"/>
          <w:lang w:eastAsia="ru-RU"/>
        </w:rPr>
        <w:t>ФР</w:t>
      </w:r>
      <w:r>
        <w:rPr>
          <w:b/>
          <w:bCs/>
          <w:color w:val="000000"/>
          <w:kern w:val="0"/>
          <w:sz w:val="28"/>
          <w:szCs w:val="28"/>
          <w:lang w:eastAsia="ru-RU"/>
        </w:rPr>
        <w:t xml:space="preserve">, утвержденный приказом ФАС России от 21 ноября 2024 г. № 887/24 </w:t>
      </w:r>
    </w:p>
    <w:p w:rsidR="001210B7" w:rsidRDefault="001210B7">
      <w:pPr>
        <w:jc w:val="center"/>
        <w:rPr>
          <w:b/>
          <w:bCs/>
          <w:color w:val="000000"/>
          <w:kern w:val="0"/>
          <w:sz w:val="28"/>
          <w:szCs w:val="28"/>
        </w:rPr>
      </w:pPr>
    </w:p>
    <w:p w:rsidR="001210B7" w:rsidRDefault="00136F9E">
      <w:pPr>
        <w:spacing w:line="360" w:lineRule="auto"/>
        <w:jc w:val="both"/>
      </w:pPr>
      <w:r>
        <w:rPr>
          <w:b/>
          <w:bCs/>
          <w:color w:val="000000"/>
          <w:kern w:val="0"/>
          <w:sz w:val="28"/>
          <w:szCs w:val="28"/>
        </w:rPr>
        <w:tab/>
      </w:r>
      <w:r>
        <w:rPr>
          <w:color w:val="000000"/>
          <w:kern w:val="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</w:rPr>
        <w:t>соответст</w:t>
      </w:r>
      <w:r>
        <w:rPr>
          <w:color w:val="000000"/>
          <w:sz w:val="28"/>
          <w:szCs w:val="28"/>
        </w:rPr>
        <w:t xml:space="preserve">вии </w:t>
      </w:r>
      <w:r>
        <w:rPr>
          <w:color w:val="000000"/>
          <w:sz w:val="28"/>
          <w:szCs w:val="28"/>
          <w:lang w:eastAsia="ru-RU"/>
        </w:rPr>
        <w:t>с абзацем седьмым пункта 5</w:t>
      </w:r>
      <w:r>
        <w:rPr>
          <w:color w:val="000000"/>
          <w:sz w:val="28"/>
          <w:szCs w:val="28"/>
          <w:vertAlign w:val="superscript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 статьи 193, </w:t>
      </w:r>
      <w:r>
        <w:rPr>
          <w:color w:val="000000"/>
          <w:sz w:val="28"/>
          <w:szCs w:val="28"/>
          <w:lang w:eastAsia="ru-RU"/>
        </w:rPr>
        <w:t>абзацем третьим пункта 1 статьи 342</w:t>
      </w:r>
      <w:r>
        <w:rPr>
          <w:color w:val="000000"/>
          <w:sz w:val="28"/>
          <w:szCs w:val="28"/>
          <w:vertAlign w:val="superscript"/>
          <w:lang w:eastAsia="ru-RU"/>
        </w:rPr>
        <w:t>12</w:t>
      </w:r>
      <w:r>
        <w:rPr>
          <w:color w:val="000000"/>
          <w:sz w:val="28"/>
          <w:szCs w:val="28"/>
          <w:lang w:eastAsia="ru-RU"/>
        </w:rPr>
        <w:t>, абзацем третьим пункта</w:t>
      </w:r>
      <w:r>
        <w:rPr>
          <w:color w:val="000000"/>
          <w:sz w:val="28"/>
          <w:szCs w:val="28"/>
          <w:lang w:eastAsia="ru-RU"/>
        </w:rPr>
        <w:t xml:space="preserve"> 1 статьи 342</w:t>
      </w:r>
      <w:r>
        <w:rPr>
          <w:color w:val="000000"/>
          <w:sz w:val="28"/>
          <w:szCs w:val="28"/>
          <w:vertAlign w:val="superscript"/>
          <w:lang w:eastAsia="ru-RU"/>
        </w:rPr>
        <w:t xml:space="preserve">15 </w:t>
      </w:r>
      <w:r>
        <w:rPr>
          <w:color w:val="000000"/>
          <w:sz w:val="28"/>
          <w:szCs w:val="28"/>
          <w:lang w:eastAsia="ru-RU"/>
        </w:rPr>
        <w:t>части второй Налогового кодекса Российской Федерации</w:t>
      </w:r>
      <w:r>
        <w:rPr>
          <w:color w:val="000000"/>
          <w:sz w:val="28"/>
          <w:szCs w:val="28"/>
          <w:lang w:eastAsia="ru-RU"/>
        </w:rPr>
        <w:t>, со статьей 1 Федерального закона от 31 июля 2025 г. № 351-ФЗ «О внесении изменений в Федеральный закон «Об основах государственного регулирования торговой деятельности в Российской Федер</w:t>
      </w:r>
      <w:r>
        <w:rPr>
          <w:color w:val="000000"/>
          <w:sz w:val="28"/>
          <w:szCs w:val="28"/>
          <w:lang w:eastAsia="ru-RU"/>
        </w:rPr>
        <w:t xml:space="preserve">ации», с </w:t>
      </w:r>
      <w:r>
        <w:rPr>
          <w:color w:val="000000"/>
          <w:sz w:val="28"/>
          <w:szCs w:val="28"/>
        </w:rPr>
        <w:t xml:space="preserve">пунктом 1 Положения о Федеральной антимонопольной службе, утвержденного постановлением Правительства Российской Федерации от 30 июня 2004 г. № 331, 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 р и </w:t>
      </w:r>
      <w:proofErr w:type="gramStart"/>
      <w:r>
        <w:rPr>
          <w:color w:val="000000"/>
          <w:sz w:val="28"/>
          <w:szCs w:val="28"/>
          <w:lang w:eastAsia="ru-RU"/>
        </w:rPr>
        <w:t>к</w:t>
      </w:r>
      <w:proofErr w:type="gramEnd"/>
      <w:r>
        <w:rPr>
          <w:color w:val="000000"/>
          <w:sz w:val="28"/>
          <w:szCs w:val="28"/>
          <w:lang w:eastAsia="ru-RU"/>
        </w:rPr>
        <w:t xml:space="preserve"> а з ы в а ю: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 xml:space="preserve">1. Внести в Порядок определения показателей </w:t>
      </w:r>
      <w:r>
        <w:rPr>
          <w:color w:val="000000"/>
          <w:kern w:val="0"/>
          <w:sz w:val="28"/>
          <w:szCs w:val="28"/>
          <w:lang w:eastAsia="ru-RU"/>
        </w:rPr>
        <w:t>Ц</w:t>
      </w:r>
      <w:r>
        <w:rPr>
          <w:color w:val="000000"/>
          <w:kern w:val="0"/>
          <w:sz w:val="28"/>
          <w:szCs w:val="28"/>
          <w:vertAlign w:val="subscript"/>
          <w:lang w:eastAsia="ru-RU"/>
        </w:rPr>
        <w:t>АК</w:t>
      </w:r>
      <w:r>
        <w:rPr>
          <w:color w:val="000000"/>
          <w:kern w:val="0"/>
          <w:sz w:val="28"/>
          <w:szCs w:val="28"/>
          <w:lang w:eastAsia="ru-RU"/>
        </w:rPr>
        <w:t>, Ц</w:t>
      </w:r>
      <w:r>
        <w:rPr>
          <w:color w:val="000000"/>
          <w:kern w:val="0"/>
          <w:sz w:val="28"/>
          <w:szCs w:val="28"/>
          <w:vertAlign w:val="subscript"/>
          <w:lang w:eastAsia="ru-RU"/>
        </w:rPr>
        <w:t>КС</w:t>
      </w:r>
      <w:r>
        <w:rPr>
          <w:color w:val="000000"/>
          <w:kern w:val="0"/>
          <w:sz w:val="28"/>
          <w:szCs w:val="28"/>
          <w:lang w:eastAsia="ru-RU"/>
        </w:rPr>
        <w:t xml:space="preserve">, </w:t>
      </w:r>
      <w:r w:rsidRPr="007C2C3F">
        <w:rPr>
          <w:color w:val="000000"/>
          <w:kern w:val="0"/>
          <w:sz w:val="28"/>
          <w:szCs w:val="28"/>
          <w:lang w:eastAsia="ru-RU"/>
        </w:rPr>
        <w:t>Ц</w:t>
      </w:r>
      <w:r w:rsidRPr="007C2C3F">
        <w:rPr>
          <w:color w:val="000000"/>
          <w:kern w:val="0"/>
          <w:sz w:val="28"/>
          <w:szCs w:val="28"/>
          <w:vertAlign w:val="subscript"/>
          <w:lang w:eastAsia="ru-RU"/>
        </w:rPr>
        <w:t>ФР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утвержденный приказом ФАС России от 21 ноября 2024 г. № 887/24 (зарегистрирован Минюстом России 25 ноября 2024 г., регистрационный № 80304), следующие изменения: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 xml:space="preserve">1.1. В пункте </w:t>
      </w:r>
      <w:r w:rsidRPr="007C2C3F">
        <w:rPr>
          <w:color w:val="000000"/>
          <w:sz w:val="28"/>
          <w:szCs w:val="28"/>
          <w:lang w:eastAsia="ru-RU"/>
        </w:rPr>
        <w:t>1: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абзаце первом слова «АО «Санкт-Петербургская международная товарно-сырьева</w:t>
      </w:r>
      <w:r>
        <w:rPr>
          <w:color w:val="000000"/>
          <w:sz w:val="28"/>
          <w:szCs w:val="28"/>
          <w:lang w:eastAsia="ru-RU"/>
        </w:rPr>
        <w:t>я биржа» (далее – 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»)» </w:t>
      </w:r>
      <w:r>
        <w:rPr>
          <w:color w:val="000000"/>
          <w:sz w:val="28"/>
          <w:szCs w:val="28"/>
          <w:lang w:eastAsia="ru-RU"/>
        </w:rPr>
        <w:t xml:space="preserve">заменить словами «акционерным обществом «Санкт-Петербургская международная товарно-сырьевая биржа» (далее </w:t>
      </w:r>
      <w:r>
        <w:rPr>
          <w:color w:val="000000"/>
          <w:sz w:val="28"/>
          <w:szCs w:val="28"/>
          <w:lang w:eastAsia="ru-RU"/>
        </w:rPr>
        <w:lastRenderedPageBreak/>
        <w:t>– АО Петербургская Биржа)»;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абзаце втором: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заменить словами «АО Петербургская Биржа»;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«ме</w:t>
      </w:r>
      <w:r>
        <w:rPr>
          <w:color w:val="000000"/>
          <w:sz w:val="28"/>
          <w:szCs w:val="28"/>
          <w:lang w:eastAsia="ru-RU"/>
        </w:rPr>
        <w:t>ждународным ценовым агентством Аргус Медиа (Раша) Лимитед (далее – агентство «Аргус Медиа Лимитед»)» заменить словами «организатором исследований товарных рынков</w:t>
      </w:r>
      <w:r>
        <w:rPr>
          <w:rStyle w:val="a4"/>
          <w:color w:val="000000"/>
          <w:sz w:val="28"/>
          <w:szCs w:val="28"/>
          <w:lang w:eastAsia="ru-RU"/>
        </w:rPr>
        <w:footnoteReference w:id="1"/>
      </w:r>
      <w:r>
        <w:rPr>
          <w:color w:val="000000"/>
          <w:sz w:val="28"/>
          <w:szCs w:val="28"/>
          <w:lang w:eastAsia="ru-RU"/>
        </w:rPr>
        <w:t xml:space="preserve"> (далее – организатор исследований товарных рынков) или ценовым агентством»;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абзаце третьем </w:t>
      </w:r>
      <w:r>
        <w:rPr>
          <w:color w:val="000000"/>
          <w:sz w:val="28"/>
          <w:szCs w:val="28"/>
          <w:lang w:eastAsia="ru-RU"/>
        </w:rPr>
        <w:t xml:space="preserve">слова «агентством «Аргус Медиа Лимитед» </w:t>
      </w:r>
      <w:r>
        <w:rPr>
          <w:color w:val="000000"/>
          <w:sz w:val="28"/>
          <w:szCs w:val="28"/>
          <w:lang w:eastAsia="ru-RU"/>
        </w:rPr>
        <w:t>заменить словами «АО Петербургская Биржа или организатором исследований товарных рынков или ценовым агентством».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 xml:space="preserve">1.2. В пункте </w:t>
      </w:r>
      <w:r>
        <w:rPr>
          <w:color w:val="000000"/>
          <w:sz w:val="28"/>
          <w:szCs w:val="28"/>
          <w:lang w:eastAsia="ru-RU"/>
        </w:rPr>
        <w:t>2</w:t>
      </w:r>
      <w:r w:rsidRPr="007C2C3F">
        <w:rPr>
          <w:color w:val="000000"/>
          <w:sz w:val="28"/>
          <w:szCs w:val="28"/>
          <w:lang w:eastAsia="ru-RU"/>
        </w:rPr>
        <w:t>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абзаце первом слова «АО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заменить словами «АО Петербургская Биржа»;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</w:t>
      </w:r>
      <w:r>
        <w:rPr>
          <w:color w:val="000000"/>
          <w:sz w:val="28"/>
          <w:szCs w:val="28"/>
          <w:lang w:eastAsia="ru-RU"/>
        </w:rPr>
        <w:t>це втором: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заменить словами «АО Петербургская Биржа»;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«агентством «Аргус Медиа Лимитед» заменить словами «организатором исследований товарных рынков или ценовым агентством»;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абзаце третьем</w:t>
      </w:r>
      <w:r>
        <w:rPr>
          <w:color w:val="000000"/>
          <w:sz w:val="28"/>
          <w:szCs w:val="28"/>
          <w:lang w:eastAsia="ru-RU"/>
        </w:rPr>
        <w:t xml:space="preserve"> слова «агентством «Аргус Медиа </w:t>
      </w:r>
      <w:proofErr w:type="gramStart"/>
      <w:r>
        <w:rPr>
          <w:color w:val="000000"/>
          <w:sz w:val="28"/>
          <w:szCs w:val="28"/>
          <w:lang w:eastAsia="ru-RU"/>
        </w:rPr>
        <w:t>Лимитед»  заменить</w:t>
      </w:r>
      <w:proofErr w:type="gramEnd"/>
      <w:r>
        <w:rPr>
          <w:color w:val="000000"/>
          <w:sz w:val="28"/>
          <w:szCs w:val="28"/>
          <w:lang w:eastAsia="ru-RU"/>
        </w:rPr>
        <w:t xml:space="preserve"> словами «АО Петербургская Биржа или организатором исследований товарных рынков или ценовым агентством».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 xml:space="preserve">1.3. В пункте </w:t>
      </w:r>
      <w:r>
        <w:rPr>
          <w:color w:val="000000"/>
          <w:sz w:val="28"/>
          <w:szCs w:val="28"/>
          <w:lang w:eastAsia="ru-RU"/>
        </w:rPr>
        <w:t>3</w:t>
      </w:r>
      <w:r w:rsidRPr="007C2C3F">
        <w:rPr>
          <w:color w:val="000000"/>
          <w:sz w:val="28"/>
          <w:szCs w:val="28"/>
          <w:lang w:eastAsia="ru-RU"/>
        </w:rPr>
        <w:t>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абзаце первом слова «АО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заменить словами «АО Петербургская Биржа»;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аб</w:t>
      </w:r>
      <w:r>
        <w:rPr>
          <w:color w:val="000000"/>
          <w:sz w:val="28"/>
          <w:szCs w:val="28"/>
          <w:lang w:eastAsia="ru-RU"/>
        </w:rPr>
        <w:t>заце втором: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«АО «</w:t>
      </w:r>
      <w:proofErr w:type="spellStart"/>
      <w:r>
        <w:rPr>
          <w:color w:val="000000"/>
          <w:sz w:val="28"/>
          <w:szCs w:val="28"/>
          <w:lang w:eastAsia="ru-RU"/>
        </w:rPr>
        <w:t>СПбМТСБ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заменить словами «АО Петербургская Биржа»;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слова «агентством «Аргус Медиа Лимитед» заменить словами «организатором исследований товарных рынков или ценовым агентством»;</w:t>
      </w:r>
    </w:p>
    <w:p w:rsidR="001210B7" w:rsidRDefault="00136F9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в абзаце третьем слова «агентством «Аргус Медиа Лимите</w:t>
      </w:r>
      <w:r>
        <w:rPr>
          <w:color w:val="000000"/>
          <w:sz w:val="28"/>
          <w:szCs w:val="28"/>
          <w:lang w:eastAsia="ru-RU"/>
        </w:rPr>
        <w:t>д» заменить словами «АО Петербургская Биржа или организатором исследований товарных рынков или ценовым агентством».</w:t>
      </w:r>
    </w:p>
    <w:p w:rsidR="001210B7" w:rsidRDefault="00136F9E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1.4. В пункте </w:t>
      </w:r>
      <w:r>
        <w:rPr>
          <w:color w:val="000000"/>
          <w:sz w:val="28"/>
          <w:szCs w:val="28"/>
          <w:lang w:eastAsia="ru-RU"/>
        </w:rPr>
        <w:t>5 слова «</w:t>
      </w:r>
      <w:r w:rsidRPr="007C2C3F">
        <w:rPr>
          <w:color w:val="000000"/>
          <w:sz w:val="28"/>
          <w:szCs w:val="28"/>
          <w:lang w:eastAsia="ru-RU"/>
        </w:rPr>
        <w:t>АО «</w:t>
      </w:r>
      <w:proofErr w:type="spellStart"/>
      <w:r w:rsidRPr="007C2C3F">
        <w:rPr>
          <w:color w:val="000000"/>
          <w:sz w:val="28"/>
          <w:szCs w:val="28"/>
          <w:lang w:eastAsia="ru-RU"/>
        </w:rPr>
        <w:t>СПбМТСБ</w:t>
      </w:r>
      <w:proofErr w:type="spellEnd"/>
      <w:r w:rsidRPr="007C2C3F">
        <w:rPr>
          <w:color w:val="000000"/>
          <w:sz w:val="28"/>
          <w:szCs w:val="28"/>
          <w:lang w:eastAsia="ru-RU"/>
        </w:rPr>
        <w:t xml:space="preserve">» и агентством «Аргус Медиа Лимитед» </w:t>
      </w:r>
      <w:r>
        <w:rPr>
          <w:color w:val="000000"/>
          <w:sz w:val="28"/>
          <w:szCs w:val="28"/>
          <w:lang w:eastAsia="ru-RU"/>
        </w:rPr>
        <w:t xml:space="preserve">заменить словами «АО Петербургская Биржа или </w:t>
      </w:r>
      <w:r>
        <w:rPr>
          <w:color w:val="000000"/>
          <w:sz w:val="28"/>
          <w:szCs w:val="28"/>
          <w:lang w:eastAsia="ru-RU"/>
        </w:rPr>
        <w:t>организатором исследован</w:t>
      </w:r>
      <w:r>
        <w:rPr>
          <w:color w:val="000000"/>
          <w:sz w:val="28"/>
          <w:szCs w:val="28"/>
          <w:lang w:eastAsia="ru-RU"/>
        </w:rPr>
        <w:t>ий товарных рынков или ценовым агентством</w:t>
      </w:r>
      <w:r>
        <w:rPr>
          <w:color w:val="000000"/>
          <w:sz w:val="28"/>
          <w:szCs w:val="28"/>
          <w:lang w:eastAsia="ru-RU"/>
        </w:rPr>
        <w:t>».</w:t>
      </w:r>
    </w:p>
    <w:p w:rsidR="001210B7" w:rsidRDefault="00136F9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>2. Настоящий приказ вступает в силу не ранее чем по истечении одного месяца со дня его официального опубликования и не ранее 1-го числа очередного налогового периода по акцизу и налогу на добычу полезных ископае</w:t>
      </w:r>
      <w:r>
        <w:rPr>
          <w:color w:val="000000"/>
          <w:sz w:val="28"/>
          <w:szCs w:val="28"/>
          <w:lang w:eastAsia="ru-RU"/>
        </w:rPr>
        <w:t>мых.</w:t>
      </w:r>
    </w:p>
    <w:p w:rsidR="001210B7" w:rsidRDefault="001210B7">
      <w:pPr>
        <w:spacing w:line="360" w:lineRule="auto"/>
        <w:jc w:val="both"/>
        <w:rPr>
          <w:color w:val="000000"/>
          <w:sz w:val="12"/>
          <w:szCs w:val="12"/>
          <w:lang w:eastAsia="ru-RU"/>
        </w:rPr>
      </w:pPr>
    </w:p>
    <w:p w:rsidR="001210B7" w:rsidRDefault="001210B7">
      <w:pPr>
        <w:spacing w:line="360" w:lineRule="auto"/>
        <w:jc w:val="both"/>
        <w:rPr>
          <w:color w:val="000000"/>
          <w:sz w:val="12"/>
          <w:szCs w:val="12"/>
          <w:lang w:eastAsia="ru-RU"/>
        </w:rPr>
      </w:pPr>
    </w:p>
    <w:tbl>
      <w:tblPr>
        <w:tblW w:w="9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05"/>
        <w:gridCol w:w="1744"/>
        <w:gridCol w:w="4389"/>
      </w:tblGrid>
      <w:tr w:rsidR="001210B7">
        <w:tc>
          <w:tcPr>
            <w:tcW w:w="3805" w:type="dxa"/>
          </w:tcPr>
          <w:p w:rsidR="001210B7" w:rsidRDefault="0013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DOCVARIABLE PredsedatelDolj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44" w:type="dxa"/>
          </w:tcPr>
          <w:p w:rsidR="001210B7" w:rsidRDefault="001210B7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1210B7" w:rsidRDefault="001210B7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9" w:type="dxa"/>
          </w:tcPr>
          <w:p w:rsidR="001210B7" w:rsidRDefault="00136F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DOCVARIABLE PredsedatelIOF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Шаскольский</w:t>
            </w:r>
            <w:proofErr w:type="spellEnd"/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1210B7" w:rsidRDefault="001210B7">
      <w:pPr>
        <w:jc w:val="both"/>
        <w:rPr>
          <w:b/>
          <w:bCs/>
          <w:color w:val="000000"/>
          <w:kern w:val="0"/>
          <w:sz w:val="12"/>
          <w:szCs w:val="12"/>
        </w:rPr>
      </w:pPr>
      <w:bookmarkStart w:id="0" w:name="_GoBack"/>
      <w:bookmarkEnd w:id="0"/>
    </w:p>
    <w:sectPr w:rsidR="001210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96" w:right="567" w:bottom="1693" w:left="1417" w:header="737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9E" w:rsidRDefault="00136F9E">
      <w:r>
        <w:separator/>
      </w:r>
    </w:p>
  </w:endnote>
  <w:endnote w:type="continuationSeparator" w:id="0">
    <w:p w:rsidR="00136F9E" w:rsidRDefault="0013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B7" w:rsidRDefault="00136F9E">
    <w:pPr>
      <w:pStyle w:val="ad"/>
    </w:pPr>
    <w:r>
      <w:rPr>
        <w:noProof/>
        <w:lang w:eastAsia="ru-RU" w:bidi="ar-SA"/>
      </w:rPr>
      <mc:AlternateContent>
        <mc:Choice Requires="wps">
          <w:drawing>
            <wp:anchor distT="179705" distB="72390" distL="72390" distR="72390" simplePos="0" relativeHeight="251658240" behindDoc="0" locked="0" layoutInCell="0" allowOverlap="1">
              <wp:simplePos x="0" y="0"/>
              <wp:positionH relativeFrom="column">
                <wp:posOffset>5080</wp:posOffset>
              </wp:positionH>
              <wp:positionV relativeFrom="paragraph">
                <wp:posOffset>-10160</wp:posOffset>
              </wp:positionV>
              <wp:extent cx="1727835" cy="40894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210B7" w:rsidRDefault="00136F9E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>DOCVARIABLE ProjectNumber</w:instrText>
                          </w:r>
                          <w:r>
                            <w:fldChar w:fldCharType="separate"/>
                          </w:r>
                          <w:r>
                            <w:t>2026-10653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53975" tIns="179705" rIns="179705" bIns="539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36.05pt;height:32.2pt;mso-wrap-distance-left:5.7pt;mso-wrap-distance-right:5.7pt;mso-wrap-distance-top:14.15pt;mso-wrap-distance-bottom:5.7pt;margin-top:-0.8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5"/>
                      <w:bidi w:val="0"/>
                      <w:spacing w:before="0" w:after="12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2026-10653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B7" w:rsidRDefault="00136F9E">
    <w:pPr>
      <w:pStyle w:val="ad"/>
    </w:pPr>
    <w:r>
      <w:rPr>
        <w:noProof/>
        <w:lang w:eastAsia="ru-RU" w:bidi="ar-SA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5" name="SpdBa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dBarco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0B7" w:rsidRDefault="00136F9E">
    <w:pPr>
      <w:pStyle w:val="ad"/>
    </w:pPr>
    <w:r>
      <w:rPr>
        <w:noProof/>
        <w:lang w:eastAsia="ru-RU" w:bidi="ar-SA"/>
      </w:rPr>
      <mc:AlternateContent>
        <mc:Choice Requires="wps">
          <w:drawing>
            <wp:anchor distT="179705" distB="72390" distL="72390" distR="72390" simplePos="0" relativeHeight="251656192" behindDoc="0" locked="0" layoutInCell="0" allowOverlap="1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210B7" w:rsidRDefault="00136F9E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>DOCVARIABLE ProjectNumber</w:instrText>
                          </w:r>
                          <w:r>
                            <w:fldChar w:fldCharType="separate"/>
                          </w:r>
                          <w:r>
                            <w:t>2026-10653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53975" tIns="179705" rIns="179705" bIns="539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5"/>
                      <w:bidi w:val="0"/>
                      <w:spacing w:before="0" w:after="12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2026-10653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9E" w:rsidRDefault="00136F9E">
      <w:pPr>
        <w:rPr>
          <w:sz w:val="12"/>
        </w:rPr>
      </w:pPr>
      <w:r>
        <w:separator/>
      </w:r>
    </w:p>
  </w:footnote>
  <w:footnote w:type="continuationSeparator" w:id="0">
    <w:p w:rsidR="00136F9E" w:rsidRDefault="00136F9E">
      <w:pPr>
        <w:rPr>
          <w:sz w:val="12"/>
        </w:rPr>
      </w:pPr>
      <w:r>
        <w:continuationSeparator/>
      </w:r>
    </w:p>
  </w:footnote>
  <w:footnote w:id="1">
    <w:p w:rsidR="001210B7" w:rsidRDefault="00136F9E">
      <w:pPr>
        <w:pStyle w:val="af2"/>
        <w:ind w:left="0" w:firstLine="0"/>
        <w:jc w:val="both"/>
      </w:pPr>
      <w:r>
        <w:rPr>
          <w:rStyle w:val="a3"/>
        </w:rPr>
        <w:footnoteRef/>
      </w:r>
      <w:r>
        <w:t> Федеральный закон от 28 декабря 2009 г. № 381-ФЗ «Об основах государственного регулирования торговой деятельно</w:t>
      </w:r>
      <w:r>
        <w:t>сти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B7" w:rsidRDefault="00136F9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7C2C3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B7" w:rsidRDefault="001210B7">
    <w:pPr>
      <w:pStyle w:val="af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notation" w:val="О внесении изменений в Порядок определения показателей Цак, Цкс, Цфр, утвержденный Приказом ФАС России от 21.11.2024 № 887/24"/>
    <w:docVar w:name="Name" w:val="О внесении изменений в Порядок определения показателей Цак, Цкс, Цфр, утвержденный Приказом ФАС России от 21.11.2024 № 887/24"/>
    <w:docVar w:name="PredsedatelDolj" w:val="Руководитель"/>
    <w:docVar w:name="PredsedatelIOF" w:val="М.А. Шаскольский"/>
    <w:docVar w:name="ProjectNumber" w:val="2026-10653"/>
  </w:docVars>
  <w:rsids>
    <w:rsidRoot w:val="001210B7"/>
    <w:rsid w:val="001210B7"/>
    <w:rsid w:val="00136F9E"/>
    <w:rsid w:val="007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4CBE-3B48-4837-B658-258D7F4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sz w:val="20"/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Содержимое врезки"/>
    <w:basedOn w:val="a8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header"/>
    <w:basedOn w:val="ac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af1">
    <w:name w:val="Верхний колонтитул слева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Куликов Игорь Александрович</cp:lastModifiedBy>
  <cp:revision>51</cp:revision>
  <cp:lastPrinted>2026-03-27T15:01:00Z</cp:lastPrinted>
  <dcterms:created xsi:type="dcterms:W3CDTF">2020-04-16T22:05:00Z</dcterms:created>
  <dcterms:modified xsi:type="dcterms:W3CDTF">2026-04-24T10:39:00Z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KnGqrw1f+zu2OU/9wqOaVw==</vt:lpwstr>
  </property>
  <property fmtid="{D5CDD505-2E9C-101B-9397-08002B2CF9AE}" pid="3" name="PreviousContentHash">
    <vt:lpwstr>locto9sW25IXzfNyI1oR5g==</vt:lpwstr>
  </property>
</Properties>
</file>