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3D" w:rsidRDefault="0033313D" w:rsidP="0033313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3313D" w:rsidRDefault="0033313D" w:rsidP="0033313D">
      <w:pPr>
        <w:pStyle w:val="ConsPlusTitle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Правительства Российской Федерации от 18 апреля 2025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514»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постановление Правительства Российской Федерации от 18 апреля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2025 г. № 514» (далее – проект постановления) подготовлен Минэнерго России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целях установления особенностей правового регулирования отношений, возникающих при предоставлении услуги утверждения нормативов потерь углеводородного сырья (далее – УВС) при добыче, технологически связанных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принятой схемой и технологией разработки месторождения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 xml:space="preserve">(далее – нормативы потерь УВС соответственно).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предоставление Министерством энергетики Российской Федерации государственной услуги по утверждению нормативов  потерь УВС включает обязательную детальную экспертизу достоверности и обоснованности исходных данных, правильности произведенных расчетов, содержащихся </w:t>
      </w:r>
      <w:r>
        <w:rPr>
          <w:rFonts w:ascii="Times New Roman" w:hAnsi="Times New Roman"/>
          <w:sz w:val="28"/>
          <w:szCs w:val="28"/>
        </w:rPr>
        <w:br/>
        <w:t xml:space="preserve">в представленных заявителем документах, для осуществления которой 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Федеральным законом от 05.04.2013 № 44-ФЗ </w:t>
      </w:r>
      <w:r>
        <w:rPr>
          <w:rFonts w:ascii="Times New Roman" w:hAnsi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 привлекается экспертная организация.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экспертизы по каждому из заявлений является исследование приложенной к </w:t>
      </w:r>
      <w:bookmarkStart w:id="0" w:name="undefined"/>
      <w:bookmarkEnd w:id="0"/>
      <w:r>
        <w:rPr>
          <w:rFonts w:ascii="Times New Roman" w:hAnsi="Times New Roman"/>
          <w:sz w:val="28"/>
          <w:szCs w:val="28"/>
        </w:rPr>
        <w:t xml:space="preserve">нему пояснительной записки с обоснованием нормативов технологических потерь по следующим направлениям: причины возникновения потерь УВС; обоснованность их учета как технологических потерь при добыче УВС; обоснованность применения методик расчета и показателей расчета технологических потерь при добыче УВС.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предмет и сложность проводимой экспертизы срок предоставления услуги в настоящее время составляет 70 рабочих дней (пункт 14 </w:t>
      </w:r>
      <w:r w:rsidRPr="00AA24F3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предоставления Министерством энергетики Российской Федерации государственной услуги по утверждению нормативов технологических потерь УВС </w:t>
      </w:r>
      <w:r>
        <w:rPr>
          <w:rFonts w:ascii="Times New Roman" w:hAnsi="Times New Roman"/>
          <w:sz w:val="28"/>
          <w:szCs w:val="28"/>
        </w:rPr>
        <w:lastRenderedPageBreak/>
        <w:t>при добыче, транспортировке сырья и продуктов его переработки трубопроводным транспортом, утвержденного приказом Минэнерго России от 04.04.2016 № 261</w:t>
      </w:r>
      <w:r w:rsidRPr="00AA24F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далее – государственная услуга).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экспертная организация представляет </w:t>
      </w:r>
      <w:r>
        <w:rPr>
          <w:rFonts w:ascii="Times New Roman" w:hAnsi="Times New Roman"/>
          <w:sz w:val="28"/>
          <w:szCs w:val="28"/>
        </w:rPr>
        <w:br/>
        <w:t xml:space="preserve">в Минэнерго России экспертное заключение, содержащее описание проведенных работ по проверке соответствия документов установленным требованиям, а также выводы о возможности утверждения нормативов потерь УВС или об отказе </w:t>
      </w:r>
      <w:r>
        <w:rPr>
          <w:rFonts w:ascii="Times New Roman" w:hAnsi="Times New Roman"/>
          <w:sz w:val="28"/>
          <w:szCs w:val="28"/>
        </w:rPr>
        <w:br/>
        <w:t xml:space="preserve">в утверждении таких нормативов. Установившаяся практика детального анализа </w:t>
      </w:r>
      <w:r>
        <w:rPr>
          <w:rFonts w:ascii="Times New Roman" w:hAnsi="Times New Roman"/>
          <w:sz w:val="28"/>
          <w:szCs w:val="28"/>
        </w:rPr>
        <w:br/>
        <w:t xml:space="preserve">и экспертной оценки представляемых </w:t>
      </w:r>
      <w:proofErr w:type="spellStart"/>
      <w:r>
        <w:rPr>
          <w:rFonts w:ascii="Times New Roman" w:hAnsi="Times New Roman"/>
          <w:sz w:val="28"/>
          <w:szCs w:val="28"/>
        </w:rPr>
        <w:t>недропользователями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обоснований нормативов потерь УВС по каждому месторождению на протяжении продолжительного периода позволила обеспечить последовательное снижение утверждаемых нормативов потерь УВС, что, в свою очередь, ведет к сокращению объема потерь, учитываемых в пределах налоговой льготы по статье 342 Налогового кодекса Российской Федерации, увеличению количества УВС, вовлекаемого </w:t>
      </w:r>
      <w:r>
        <w:rPr>
          <w:rFonts w:ascii="Times New Roman" w:hAnsi="Times New Roman"/>
          <w:sz w:val="28"/>
          <w:szCs w:val="28"/>
        </w:rPr>
        <w:br/>
        <w:t xml:space="preserve">в обращение, и, соответственно, к увеличению налоговой базы </w:t>
      </w:r>
      <w:r>
        <w:rPr>
          <w:rFonts w:ascii="Times New Roman" w:hAnsi="Times New Roman"/>
          <w:sz w:val="28"/>
          <w:szCs w:val="28"/>
        </w:rPr>
        <w:br/>
        <w:t>по налогу на добычу полезных ископаемых (далее – НДПИ).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последовательная многолетняя работа по оказанию государственной услуги с детальной проработкой поступающих в составе комплекта документов обоснований нормативов потерь УВС позволила обеспечить последовательное снижение средневзвешенного норматива потерь нефти при добыче по Российской Федерации более чем в 200 раз с 0,418 % в 2007 году до 0,002 % в 2024 году. </w:t>
      </w:r>
      <w:r>
        <w:rPr>
          <w:rFonts w:ascii="Times New Roman" w:hAnsi="Times New Roman"/>
          <w:sz w:val="28"/>
          <w:szCs w:val="28"/>
        </w:rPr>
        <w:br/>
        <w:t xml:space="preserve">По оценкам Минэнерго России, экономический эффект от прироста поступлений </w:t>
      </w:r>
      <w:r>
        <w:rPr>
          <w:rFonts w:ascii="Times New Roman" w:hAnsi="Times New Roman"/>
          <w:sz w:val="28"/>
          <w:szCs w:val="28"/>
        </w:rPr>
        <w:br/>
        <w:t xml:space="preserve">в федеральный бюджет за счет НДПИ составил около 3 млрд руб. нарастающим итогом в период 2007-2024 годов. Аналогичное снижение нормативов потерь УВС отмечается и для других видов УВС: для попутного нефтяного газа – с 1,14 % </w:t>
      </w:r>
      <w:r>
        <w:rPr>
          <w:rFonts w:ascii="Times New Roman" w:hAnsi="Times New Roman"/>
          <w:sz w:val="28"/>
          <w:szCs w:val="28"/>
        </w:rPr>
        <w:br/>
        <w:t xml:space="preserve">до 0,042 % (более чем в 27 раз); для природного газа – с 0,550 % до 0,047 % (более чем в 11 раз); для газового конденсата – с 3,11 % до 0,006 % (более чем в 500 раз).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обобщения и анализа практики оказания государственной услуги </w:t>
      </w:r>
      <w:r>
        <w:rPr>
          <w:rFonts w:ascii="Times New Roman" w:hAnsi="Times New Roman"/>
          <w:sz w:val="28"/>
          <w:szCs w:val="28"/>
        </w:rPr>
        <w:br/>
        <w:t xml:space="preserve">за предыдущие периоды было установлено, что в среднем за год поступает более 4000 заявок от </w:t>
      </w:r>
      <w:proofErr w:type="spellStart"/>
      <w:r>
        <w:rPr>
          <w:rFonts w:ascii="Times New Roman" w:hAnsi="Times New Roman"/>
          <w:sz w:val="28"/>
          <w:szCs w:val="28"/>
        </w:rPr>
        <w:t>недропользователей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 утверждение технологических потерь УВС </w:t>
      </w:r>
      <w:r>
        <w:rPr>
          <w:rFonts w:ascii="Times New Roman" w:hAnsi="Times New Roman"/>
          <w:sz w:val="28"/>
          <w:szCs w:val="28"/>
        </w:rPr>
        <w:lastRenderedPageBreak/>
        <w:t xml:space="preserve">при добыче по видам УВС и месторождениям. При этом с апреля по октябрь наблюдается пик количества поступающих заявлений, когда их число достигает около 30 шт. за один рабочий день.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согласно Правилам № 514 сроки оказания государственной услуги были сокращены с 70 до 4-5 рабочих дней. Таким образом, с учетом указанного сокращения сроков предоставления государственной услуги возможность привлечения экспертных организаций для рассмотрения поступающих документов становится невозможной. В целях изучения возможности предоставления государственной услуги исключительно силами Минэнерго России проведены комплексный анализ требований Правил № 514, интеграция сложившейся практики с новыми требованиями, выстраивание бизнес-процессов для оптимизации процесса оказания государственной услуги </w:t>
      </w:r>
      <w:r>
        <w:rPr>
          <w:rFonts w:ascii="Times New Roman" w:hAnsi="Times New Roman"/>
          <w:sz w:val="28"/>
          <w:szCs w:val="28"/>
        </w:rPr>
        <w:br/>
        <w:t xml:space="preserve">с сохранением качества проработки обосновывающих материалов. Проведенная работа показала, что регламентный срок в количестве 4-5 рабочих дней </w:t>
      </w:r>
      <w:r>
        <w:rPr>
          <w:rFonts w:ascii="Times New Roman" w:hAnsi="Times New Roman"/>
          <w:sz w:val="28"/>
          <w:szCs w:val="28"/>
        </w:rPr>
        <w:br/>
        <w:t xml:space="preserve">на предоставления государственной услуги не позволяет должным образом рассмотреть поступающие обоснования нормативов потерь УВС.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анализа определено, что для качественного предоставления государственной услуги требуется не менее 45 рабочих дней, включая этапы регистрации заявлений, проведения проверки комплектности представленных документов, проведения экспертизы в части полноты и достоверности обоснований, комиссионного рассмотрения итогов экспертизы и принятия соответствующего решения.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также отметить, что срок рассмотрения заявлений в течение </w:t>
      </w:r>
      <w:r>
        <w:rPr>
          <w:rFonts w:ascii="Times New Roman" w:hAnsi="Times New Roman"/>
          <w:sz w:val="28"/>
          <w:szCs w:val="28"/>
        </w:rPr>
        <w:br/>
        <w:t xml:space="preserve">70 рабочих дней применялся на протяжении всего периода предоставления государственной услуги, при этом со стороны </w:t>
      </w:r>
      <w:proofErr w:type="spellStart"/>
      <w:r>
        <w:rPr>
          <w:rFonts w:ascii="Times New Roman" w:hAnsi="Times New Roman"/>
          <w:sz w:val="28"/>
          <w:szCs w:val="28"/>
        </w:rPr>
        <w:t>недропользователей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не поступало жалоб на длительность указанного срока. Государственная услуга носит </w:t>
      </w:r>
      <w:r>
        <w:rPr>
          <w:rFonts w:ascii="Times New Roman" w:hAnsi="Times New Roman"/>
          <w:sz w:val="28"/>
          <w:szCs w:val="28"/>
        </w:rPr>
        <w:br/>
        <w:t>плановый характер, решение необходимо получить в течение года в рамках годовой отчетности организаций, что не оказывает негативного эффекта на их производственные процессы.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 указанные в настоящее время сроки в пунктах 21 и 22 Правил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№ 514 для качественного предоставления государственной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утверждению нормативов потерь УВС недостаточно. 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 (г. Астана, 29 мая 2014 г.), положениям иных международных договоров Российской Федерации, а также не оказывает влияния на другие национальные проекты Российской Федерации и государственные программы Российской Федерации.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постановления отсутствуют требования, связанные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(далее – обязательные требования), а также сведения о соответствующем виде государственного контроля (надзора), в виде разрешительной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предполагаемой ответственности за нарушение обязательных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или последствиях их несоблюдения.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положений, предусмотренных проектом постановления,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33313D" w:rsidRDefault="0033313D" w:rsidP="0033313D">
      <w:pPr>
        <w:widowControl w:val="0"/>
        <w:spacing w:after="0" w:line="360" w:lineRule="auto"/>
        <w:ind w:firstLine="851"/>
        <w:jc w:val="both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анализа правоприменительной практики не требуется.</w:t>
      </w:r>
    </w:p>
    <w:p w:rsidR="0033313D" w:rsidRDefault="0033313D" w:rsidP="0033313D">
      <w:pPr>
        <w:pStyle w:val="20"/>
        <w:spacing w:line="479" w:lineRule="exact"/>
        <w:ind w:firstLine="740"/>
        <w:jc w:val="both"/>
        <w:rPr>
          <w:color w:val="000000"/>
          <w:lang w:eastAsia="ru-RU" w:bidi="ru-RU"/>
        </w:rPr>
      </w:pPr>
    </w:p>
    <w:p w:rsidR="00F96FE3" w:rsidRPr="0033313D" w:rsidRDefault="00F96FE3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F96FE3" w:rsidRPr="0033313D">
      <w:headerReference w:type="default" r:id="rId4"/>
      <w:pgSz w:w="11906" w:h="16838"/>
      <w:pgMar w:top="1134" w:right="707" w:bottom="993" w:left="1134" w:header="567" w:footer="454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144709"/>
      <w:docPartObj>
        <w:docPartGallery w:val="Page Numbers (Top of Page)"/>
        <w:docPartUnique/>
      </w:docPartObj>
    </w:sdtPr>
    <w:sdtEndPr/>
    <w:sdtContent>
      <w:p w:rsidR="005F23AC" w:rsidRDefault="0033313D" w:rsidP="000D18F1">
        <w:pPr>
          <w:pStyle w:val="a3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02"/>
    <w:rsid w:val="0033313D"/>
    <w:rsid w:val="00CC2702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B2BFB-96D2-4861-B4C0-34085F0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13D"/>
    <w:rPr>
      <w:rFonts w:ascii="Calibri" w:eastAsia="Calibri" w:hAnsi="Calibri" w:cs="Times New Roman"/>
    </w:rPr>
  </w:style>
  <w:style w:type="paragraph" w:customStyle="1" w:styleId="ConsPlusTitle">
    <w:name w:val="ConsPlusTitle"/>
    <w:rsid w:val="0033313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link w:val="20"/>
    <w:rsid w:val="0033313D"/>
    <w:rPr>
      <w:rFonts w:eastAsia="Times New Roman"/>
    </w:rPr>
  </w:style>
  <w:style w:type="paragraph" w:customStyle="1" w:styleId="20">
    <w:name w:val="Основной текст (2)"/>
    <w:basedOn w:val="a"/>
    <w:link w:val="2"/>
    <w:rsid w:val="0033313D"/>
    <w:pPr>
      <w:widowControl w:val="0"/>
      <w:spacing w:after="0" w:line="240" w:lineRule="auto"/>
    </w:pPr>
    <w:rPr>
      <w:rFonts w:asciiTheme="minorHAnsi" w:eastAsia="Times New Roman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БАЙБИКОВА Диана Ринатовна</dc:creator>
  <cp:keywords/>
  <dc:description/>
  <cp:lastModifiedBy>БАЙБИКОВА Диана Ринатовна</cp:lastModifiedBy>
  <cp:revision>2</cp:revision>
  <dcterms:created xsi:type="dcterms:W3CDTF">2026-04-24T11:13:00Z</dcterms:created>
  <dcterms:modified xsi:type="dcterms:W3CDTF">2026-04-24T11:13:00Z</dcterms:modified>
</cp:coreProperties>
</file>