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приказ "Об утверждении Положения о выдаче капитаном морского порта
свидетельства о минимальном составе экипажа судна,
обеспечивающего безопасность"
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Минтранс России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02/08/04-26/00167530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нет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24.04.2026-18.05.2026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В соответствии с абзацем первым пункта 2 статьи 53 Кодекса торгового мореплавания Российской Федерации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01.03.2027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Политов Алексей Леонидович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консультант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Департамент государственной политики в области морского и внутреннего водного транспорта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(499) 495-00-00 (доб. 17-25)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politoval@mintrans.gov.ru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В.В. Клюев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24.04.2026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