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ведется планомерная </w:t>
      </w:r>
      <w:r>
        <w:rPr>
          <w:rFonts w:ascii="Times New Roman" w:hAnsi="Times New Roman" w:cs="Times New Roman"/>
          <w:sz w:val="28"/>
          <w:szCs w:val="28"/>
        </w:rPr>
        <w:t xml:space="preserve">и поэтапная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по консолидации электросетевого комплекса.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Необходимость проведения консолидации объектов электросетевого хозяйства (далее - ОЭСХ) территориальных сетевых организаций (далее - ТСО) обусловлена особенностями структуры национального электросетевого комплекса, сложившейся по результатам рефор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мирования электроэнергетической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отрасли,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которая наряду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магистральными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региональными распределительными сетевыми организациями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включала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более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ТСО с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азличным составом собственников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целом подобная раздробленная структура электросете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вого комплекса характеризуется рядом существенных недостатков, в том числе отсутствием действенных механизмов проведения единой технической и эксплуатационной политики, низкими показателями надежности и качества оказания услуг по передаче электрической эне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ргии, а также отвлечением части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«котл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овой» тарифной выручки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непрофессиональных ТСО, что ограничивает возможности модернизации электросетевого комплекса.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Кроме 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значительное количество ТСО усиливает риски в работе распределительного комплекса в целом, предопределяет неоптимальное распределение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ресурсов, связанных с его эксплуатацией, поддержанием и развитием, что приводит к дублированию операционных издержек (в том числе на содержание ремонтного персонала и диспетчеризацию) и инвестиционных затрат (в том числе на строительство новых подстанций).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Зачастую некрупные ТСО не обладают достаточным масштабом для самостоятельного разрешения чрезвычайных ситуаций и не способны поддерживать ОЭСХ в надлежащем техническом состоянии: таким ТСО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 невыгодно содержать необходимый аварийный запас ОЭСХ,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необходимое число ремонтного и аварийного персонала, что приводит возникновению рисков нарушения обеспечения надежной работы всего электросетевого комплекса страны. При этом для ликвидации последствий аварийных ситуаций, возникающих на ОЭСХ таких ТСО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правило, привлекаются дополнительные силы и средства более крупных ТСО, что требует отвлечения персонала, технических ресурсов и приводит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незапланированным издержкам.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в 2024-2025 гг. </w:t>
      </w:r>
      <w:r>
        <w:rPr>
          <w:rFonts w:ascii="Times New Roman" w:hAnsi="Times New Roman" w:cs="Times New Roman"/>
          <w:sz w:val="28"/>
          <w:szCs w:val="28"/>
        </w:rPr>
        <w:t xml:space="preserve">являющиеся СТСО </w:t>
      </w:r>
      <w:r>
        <w:rPr>
          <w:rFonts w:ascii="Times New Roman" w:hAnsi="Times New Roman" w:cs="Times New Roman"/>
          <w:sz w:val="28"/>
          <w:szCs w:val="28"/>
        </w:rPr>
        <w:t xml:space="preserve">дочерние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 неоднократно на основании решений штабов по обеспечению безопасности электроснабжения выполняли ремонтные и аварийно-восстановительные работы на </w:t>
      </w:r>
      <w:r>
        <w:rPr>
          <w:rFonts w:ascii="Times New Roman" w:hAnsi="Times New Roman" w:cs="Times New Roman"/>
          <w:sz w:val="28"/>
          <w:szCs w:val="28"/>
        </w:rPr>
        <w:t xml:space="preserve">ОЭСХ</w:t>
      </w:r>
      <w:r>
        <w:rPr>
          <w:rFonts w:ascii="Times New Roman" w:hAnsi="Times New Roman" w:cs="Times New Roman"/>
          <w:sz w:val="28"/>
          <w:szCs w:val="28"/>
        </w:rPr>
        <w:t xml:space="preserve"> сторонних ТСО.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такими ТСО зачастую не соблюдаются единые стандарты качества обслуживания потребителей (не организовано очное обслуживание, отсутствует круглосуточная оперативно-диспетчерская служба). Несмотря на </w:t>
      </w:r>
      <w:r>
        <w:rPr>
          <w:rFonts w:ascii="Times New Roman" w:hAnsi="Times New Roman" w:cs="Times New Roman"/>
          <w:sz w:val="28"/>
          <w:szCs w:val="28"/>
        </w:rPr>
        <w:t xml:space="preserve">вступившую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.01.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обеспечению принятия заявок и заключению договоров об осуществлении технологического присоединения через </w:t>
      </w:r>
      <w:r>
        <w:rPr>
          <w:rFonts w:ascii="Times New Roman" w:hAnsi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cs="Times New Roman"/>
          <w:sz w:val="28"/>
          <w:szCs w:val="28"/>
        </w:rPr>
        <w:t xml:space="preserve">, малые ТСО практически не обеспечивают для заявителей возможность взаимодействия через портал.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функции по экспертизе инвестиционных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тарифных заявок СТСО рассмотрены и выданы заключения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337 инвестиционных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(выявлены замечани</w:t>
      </w:r>
      <w:r>
        <w:rPr>
          <w:rFonts w:ascii="Times New Roman" w:hAnsi="Times New Roman" w:cs="Times New Roman"/>
          <w:sz w:val="28"/>
          <w:szCs w:val="28"/>
        </w:rPr>
        <w:t xml:space="preserve">я в объеме 41 млрд руб., из которых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регулирующими органами </w:t>
      </w:r>
      <w:r>
        <w:rPr>
          <w:rFonts w:ascii="Times New Roman" w:hAnsi="Times New Roman" w:cs="Times New Roman"/>
          <w:sz w:val="28"/>
          <w:szCs w:val="28"/>
        </w:rPr>
        <w:t xml:space="preserve">учтены замечания в объеме 18 млрд руб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354 тарифных заявок (</w:t>
      </w:r>
      <w:r>
        <w:rPr>
          <w:rFonts w:ascii="Times New Roman" w:hAnsi="Times New Roman" w:cs="Times New Roman"/>
          <w:sz w:val="28"/>
          <w:szCs w:val="28"/>
        </w:rPr>
        <w:t xml:space="preserve">выявлены замечания в объеме 63 млрд руб</w:t>
      </w:r>
      <w:r>
        <w:rPr>
          <w:rFonts w:ascii="Times New Roman" w:hAnsi="Times New Roman" w:cs="Times New Roman"/>
          <w:sz w:val="28"/>
          <w:szCs w:val="28"/>
        </w:rPr>
        <w:t xml:space="preserve">., из которых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регулирующими органами </w:t>
      </w:r>
      <w:r>
        <w:rPr>
          <w:rFonts w:ascii="Times New Roman" w:hAnsi="Times New Roman" w:cs="Times New Roman"/>
          <w:sz w:val="28"/>
          <w:szCs w:val="28"/>
        </w:rPr>
        <w:t xml:space="preserve">учтены замечания в объеме 48 млрд руб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информация показывает, что</w:t>
      </w:r>
      <w:r>
        <w:rPr>
          <w:rFonts w:ascii="Times New Roman" w:hAnsi="Times New Roman" w:cs="Times New Roman"/>
          <w:sz w:val="28"/>
          <w:szCs w:val="28"/>
        </w:rPr>
        <w:t xml:space="preserve"> введенный в 2024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институт СТСО позволил улучшить прозрачность тарифного регулирования в регионах, а процедура экспертизы со стороны СТСО стала действенным инструментом выявления экономически необоснованных расходов и исключения тарифных диспропорций.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для таких ТСО передача электрической энергии не является основным видом деятельности (компании нефтегазового комплекса, металлургические и</w:t>
      </w:r>
      <w:r>
        <w:rPr>
          <w:rFonts w:ascii="Times New Roman" w:hAnsi="Times New Roman" w:cs="Times New Roman"/>
          <w:sz w:val="28"/>
          <w:szCs w:val="28"/>
        </w:rPr>
        <w:t xml:space="preserve"> машиностроительные заводы, горно-химические комбинаты, научно-исследовательские институты, застройщики), то есть финансирование иных видов деятельности таких компаний осуществляется за счет тарифных источников от оказания услуг по передаче электроэнергии.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поэтапного изменения Критериев отнесения владельцев объектов электросетевого хозяйства к территориальным сетевым организациям</w:t>
      </w:r>
      <w:r>
        <w:rPr>
          <w:rStyle w:val="88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(далее  –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 xml:space="preserve">критерии ТСО)</w:t>
      </w:r>
      <w:r>
        <w:rPr>
          <w:rFonts w:ascii="Times New Roman" w:hAnsi="Times New Roman" w:cs="Times New Roman"/>
          <w:sz w:val="28"/>
          <w:szCs w:val="28"/>
        </w:rPr>
        <w:t xml:space="preserve">, увеличены параметры суммарной максимальной мощности трансформаторов и протяженности линий электропередачи, вследствие чего количество владельцев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ЭСХ, в отношении которых был установлен тариф на услуги по передаче электрической </w:t>
      </w:r>
      <w:r>
        <w:rPr>
          <w:rFonts w:ascii="Times New Roman" w:hAnsi="Times New Roman" w:cs="Times New Roman"/>
          <w:sz w:val="28"/>
          <w:szCs w:val="28"/>
        </w:rPr>
        <w:t xml:space="preserve">энергии постепенно сокращалось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 xml:space="preserve">2022 г. – 1396 ТСО; в </w:t>
      </w:r>
      <w:r>
        <w:rPr>
          <w:rFonts w:ascii="Times New Roman" w:hAnsi="Times New Roman" w:cs="Times New Roman"/>
          <w:sz w:val="28"/>
          <w:szCs w:val="28"/>
        </w:rPr>
        <w:t xml:space="preserve">2023 г. – 1291 ТСО; в </w:t>
      </w:r>
      <w:r>
        <w:rPr>
          <w:rFonts w:ascii="Times New Roman" w:hAnsi="Times New Roman" w:cs="Times New Roman"/>
          <w:sz w:val="28"/>
          <w:szCs w:val="28"/>
        </w:rPr>
        <w:t xml:space="preserve">2024 г. – 985 ТСО; в </w:t>
      </w:r>
      <w:r>
        <w:rPr>
          <w:rFonts w:ascii="Times New Roman" w:hAnsi="Times New Roman" w:cs="Times New Roman"/>
          <w:sz w:val="28"/>
          <w:szCs w:val="28"/>
        </w:rPr>
        <w:t xml:space="preserve">2025 г. – 619 ТСО; в </w:t>
      </w:r>
      <w:r>
        <w:rPr>
          <w:rFonts w:ascii="Times New Roman" w:hAnsi="Times New Roman" w:cs="Times New Roman"/>
          <w:sz w:val="28"/>
          <w:szCs w:val="28"/>
        </w:rPr>
        <w:t xml:space="preserve">2026 г. – 508 ТСО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26.09.2025 </w:t>
      </w:r>
      <w:r>
        <w:rPr>
          <w:rFonts w:ascii="Times New Roman" w:hAnsi="Times New Roman" w:cs="Times New Roman"/>
          <w:sz w:val="28"/>
          <w:szCs w:val="28"/>
        </w:rPr>
        <w:t xml:space="preserve">№ 1476 «О внесении изменений в некоторые акты Правительства Российской Федерации» уточнены критерии ТСО на 2026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, в частности, при оценке критериев ТСО учитываются только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ЭСХ, владение которыми осуществляется на праве собственности (за исключением долевой). При этом количественные критерии ТСО (150 МВА и 300 км) не пересматривались.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указанных изменений колич</w:t>
      </w:r>
      <w:r>
        <w:rPr>
          <w:rFonts w:ascii="Times New Roman" w:hAnsi="Times New Roman" w:cs="Times New Roman"/>
          <w:sz w:val="28"/>
          <w:szCs w:val="28"/>
        </w:rPr>
        <w:t xml:space="preserve">ество регулируемых организаций </w:t>
        <w:br/>
      </w:r>
      <w:r>
        <w:rPr>
          <w:rFonts w:ascii="Times New Roman" w:hAnsi="Times New Roman" w:cs="Times New Roman"/>
          <w:sz w:val="28"/>
          <w:szCs w:val="28"/>
        </w:rPr>
        <w:t xml:space="preserve">в 2026 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снизилось до 508 </w:t>
      </w:r>
      <w:r>
        <w:rPr>
          <w:rFonts w:ascii="Times New Roman" w:hAnsi="Times New Roman" w:cs="Times New Roman"/>
          <w:sz w:val="28"/>
          <w:szCs w:val="28"/>
        </w:rPr>
        <w:t xml:space="preserve">ТСО в целом по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отдельных, наиболее значимых для регионов и муниципалитетов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предпри</w:t>
      </w:r>
      <w:r>
        <w:rPr>
          <w:rFonts w:ascii="Times New Roman" w:hAnsi="Times New Roman" w:cs="Times New Roman"/>
          <w:sz w:val="28"/>
          <w:szCs w:val="28"/>
        </w:rPr>
        <w:t xml:space="preserve">ятий со статусом ТСО предусмотрена годовая отсрочка применения требований о владении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 только на праве собственности, что позволит провести надлежащим образом преобразование такого рода предприятий в акционерные общества в рамках приватизации.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успешно развивается практика «подхвата»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ТСО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 при лишении их владельцев статуса ТСО. Существующая система обязательных договоров </w:t>
        <w:br/>
        <w:t xml:space="preserve">и соглашений с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ТСО позволяет своевременно передавать ей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 утративших статус ТСО для обеспечения их надлежащей эксплуатации.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Утратившие в 2026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статус ТСО консолидированы </w:t>
      </w:r>
      <w:r>
        <w:rPr>
          <w:rFonts w:ascii="Times New Roman" w:hAnsi="Times New Roman" w:cs="Times New Roman"/>
          <w:sz w:val="28"/>
          <w:szCs w:val="28"/>
        </w:rPr>
        <w:t xml:space="preserve">СТСО</w:t>
      </w:r>
      <w:r>
        <w:rPr>
          <w:rFonts w:ascii="Times New Roman" w:hAnsi="Times New Roman" w:cs="Times New Roman"/>
          <w:sz w:val="28"/>
          <w:szCs w:val="28"/>
        </w:rPr>
        <w:t xml:space="preserve"> и сторонними ТСО, либо продолжили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 для собственных нужд (крупные компании нефтегазового комплекса).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ЭСХ, находящихся в собственности субъектов Российской Федерации или муниципальной собственности, заключен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безвозмездного владения и пользования.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электросетевом комплексе остается большое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ТСО, которые не способны обеспечивать необходимый уровень надежности электроснабжения, не имеют достаточный объем аварийного запаса оборудования, аварийно-восстановительной техники и необходимое количество производственно-технического персонала.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Минэнерго России 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постановления), который предусматривает </w:t>
      </w:r>
      <w:r>
        <w:rPr>
          <w:rFonts w:ascii="Times New Roman" w:hAnsi="Times New Roman" w:cs="Times New Roman"/>
          <w:sz w:val="28"/>
          <w:szCs w:val="28"/>
        </w:rPr>
        <w:t xml:space="preserve">увеличение количественных критериев ТСО в два раза до 300 МВА и 600 км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доведение количества регулируемых организаций в 2027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 последующих периодах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до 3-4 ТСО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 (порядка </w:t>
      </w:r>
      <w:r>
        <w:rPr>
          <w:rFonts w:ascii="Times New Roman" w:hAnsi="Times New Roman" w:cs="Times New Roman"/>
          <w:sz w:val="28"/>
          <w:szCs w:val="28"/>
        </w:rPr>
        <w:t xml:space="preserve">35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ТСО в целом по Российской Федерации).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подавляющего 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несоответствующих «новым» критериям ТСО</w:t>
      </w:r>
      <w:r>
        <w:rPr>
          <w:rFonts w:ascii="Times New Roman" w:hAnsi="Times New Roman" w:cs="Times New Roman"/>
          <w:sz w:val="28"/>
          <w:szCs w:val="28"/>
        </w:rPr>
        <w:t xml:space="preserve"> НВВ составляет менее 5% от регионального НВВ.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позволит сократить степень разрозненности ТСО и п</w:t>
      </w:r>
      <w:r>
        <w:rPr>
          <w:rFonts w:ascii="Times New Roman" w:hAnsi="Times New Roman" w:cs="Times New Roman"/>
          <w:sz w:val="28"/>
          <w:szCs w:val="28"/>
        </w:rPr>
        <w:t xml:space="preserve">овысить контроль над электросетевом комплексом, проводить единую техническую и эксплуатационную политику, исключить дублирование затрат, повысить качество и надежность электроснабжения потребителей благодаря наличию необходимой материальной базы, пополняем</w:t>
      </w:r>
      <w:r>
        <w:rPr>
          <w:rFonts w:ascii="Times New Roman" w:hAnsi="Times New Roman" w:cs="Times New Roman"/>
          <w:sz w:val="28"/>
          <w:szCs w:val="28"/>
        </w:rPr>
        <w:t xml:space="preserve">ого аварийного запаса, достаточного количества оперативно-технического персонала, повысить качество обслуживания потребителей, а также сократить случаи, когда для ТСО оказание услуг по передаче электрической энергии не является основным видом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проектом постановления предусмотрены особенности учета </w:t>
      </w:r>
      <w:r>
        <w:rPr>
          <w:rFonts w:ascii="Times New Roman" w:hAnsi="Times New Roman" w:cs="Times New Roman"/>
          <w:sz w:val="28"/>
          <w:szCs w:val="28"/>
        </w:rPr>
        <w:t xml:space="preserve">ОЭСХ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Крым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 оценке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критери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ТСО и критери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СТСО</w:t>
      </w:r>
      <w:r>
        <w:rPr>
          <w:rStyle w:val="88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на 2027 и 2028 </w:t>
      </w:r>
      <w:r>
        <w:rPr>
          <w:rFonts w:ascii="Times New Roman" w:hAnsi="Times New Roman" w:cs="Times New Roman"/>
          <w:sz w:val="28"/>
          <w:szCs w:val="28"/>
        </w:rPr>
        <w:t xml:space="preserve">гг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4 Федерального закона от 26</w:t>
      </w:r>
      <w:r>
        <w:rPr>
          <w:rFonts w:ascii="Times New Roman" w:hAnsi="Times New Roman" w:cs="Times New Roman"/>
          <w:sz w:val="28"/>
          <w:szCs w:val="28"/>
        </w:rPr>
        <w:t xml:space="preserve">.03.</w:t>
      </w:r>
      <w:r>
        <w:rPr>
          <w:rFonts w:ascii="Times New Roman" w:hAnsi="Times New Roman" w:cs="Times New Roman"/>
          <w:sz w:val="28"/>
          <w:szCs w:val="28"/>
        </w:rPr>
        <w:t xml:space="preserve">2003 </w:t>
        <w:br/>
      </w:r>
      <w:r>
        <w:rPr>
          <w:rFonts w:ascii="Times New Roman" w:hAnsi="Times New Roman" w:cs="Times New Roman"/>
          <w:sz w:val="28"/>
          <w:szCs w:val="28"/>
        </w:rPr>
        <w:t xml:space="preserve">№ 35-ФЗ «Об электроэнергетике» срок вступления в силу и срок действия постановления определяется без учета положений частей 1 и 4 статьи 3 Федерального закона от 31</w:t>
      </w:r>
      <w:r>
        <w:rPr>
          <w:rFonts w:ascii="Times New Roman" w:hAnsi="Times New Roman" w:cs="Times New Roman"/>
          <w:sz w:val="28"/>
          <w:szCs w:val="28"/>
        </w:rPr>
        <w:t xml:space="preserve">.07.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№ 247-ФЗ «Об обязательных требованиях в Российской Федерации».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постановления,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Российской Федерации не окажет влияния на доходы или расходы бюджетов бюджетной системы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противоречит Договору о Евразийском экономическом союзе, а также положениям иных международных договоров Российской Федерации, не оказывает влияния на достижение целей государственных программ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содержит обязательные требования, оценка соблюдения которых осуществляется в рамках обеспечения.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8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тверждены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8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8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ритерии отнесения территориальных сетевых организаций к системообразующим территориальным сетевым организациям, утвержденные 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остановлением Правительства Российской Федерации от 28.08.2024 № 1159.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1752574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0"/>
        <w:szCs w:val="20"/>
      </w:rPr>
    </w:sdtPr>
    <w:sdtContent>
      <w:p>
        <w:pPr>
          <w:pStyle w:val="90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90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3"/>
    <w:link w:val="72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8">
    <w:name w:val="Heading 2 Char"/>
    <w:basedOn w:val="733"/>
    <w:link w:val="725"/>
    <w:uiPriority w:val="9"/>
    <w:rPr>
      <w:rFonts w:ascii="Liberation Sans" w:hAnsi="Liberation Sans" w:eastAsia="Liberation Sans" w:cs="Liberation Sans"/>
      <w:sz w:val="34"/>
    </w:rPr>
  </w:style>
  <w:style w:type="character" w:styleId="709">
    <w:name w:val="Heading 3 Char"/>
    <w:basedOn w:val="733"/>
    <w:link w:val="72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0">
    <w:name w:val="Heading 4 Char"/>
    <w:basedOn w:val="733"/>
    <w:link w:val="7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1">
    <w:name w:val="Heading 5 Char"/>
    <w:basedOn w:val="733"/>
    <w:link w:val="72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2">
    <w:name w:val="Heading 6 Char"/>
    <w:basedOn w:val="733"/>
    <w:link w:val="72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3">
    <w:name w:val="Heading 7 Char"/>
    <w:basedOn w:val="733"/>
    <w:link w:val="73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4">
    <w:name w:val="Heading 8 Char"/>
    <w:basedOn w:val="733"/>
    <w:link w:val="73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5">
    <w:name w:val="Heading 9 Char"/>
    <w:basedOn w:val="733"/>
    <w:link w:val="7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6">
    <w:name w:val="Title Char"/>
    <w:basedOn w:val="733"/>
    <w:link w:val="747"/>
    <w:uiPriority w:val="10"/>
    <w:rPr>
      <w:sz w:val="48"/>
      <w:szCs w:val="48"/>
    </w:rPr>
  </w:style>
  <w:style w:type="character" w:styleId="717">
    <w:name w:val="Subtitle Char"/>
    <w:basedOn w:val="733"/>
    <w:link w:val="749"/>
    <w:uiPriority w:val="11"/>
    <w:rPr>
      <w:sz w:val="24"/>
      <w:szCs w:val="24"/>
    </w:rPr>
  </w:style>
  <w:style w:type="character" w:styleId="718">
    <w:name w:val="Quote Char"/>
    <w:link w:val="751"/>
    <w:uiPriority w:val="29"/>
    <w:rPr>
      <w:i/>
    </w:rPr>
  </w:style>
  <w:style w:type="character" w:styleId="719">
    <w:name w:val="Intense Quote Char"/>
    <w:link w:val="753"/>
    <w:uiPriority w:val="30"/>
    <w:rPr>
      <w:i/>
    </w:rPr>
  </w:style>
  <w:style w:type="character" w:styleId="720">
    <w:name w:val="Caption Char"/>
    <w:basedOn w:val="733"/>
    <w:link w:val="757"/>
    <w:uiPriority w:val="35"/>
    <w:rPr>
      <w:b/>
      <w:bCs/>
      <w:color w:val="4f81bd" w:themeColor="accent1"/>
      <w:sz w:val="18"/>
      <w:szCs w:val="18"/>
    </w:rPr>
  </w:style>
  <w:style w:type="character" w:styleId="721">
    <w:name w:val="Footnote Text Char"/>
    <w:link w:val="886"/>
    <w:uiPriority w:val="99"/>
    <w:rPr>
      <w:sz w:val="18"/>
    </w:rPr>
  </w:style>
  <w:style w:type="character" w:styleId="722">
    <w:name w:val="Endnote Text Char"/>
    <w:link w:val="889"/>
    <w:uiPriority w:val="99"/>
    <w:rPr>
      <w:sz w:val="20"/>
    </w:rPr>
  </w:style>
  <w:style w:type="paragraph" w:styleId="723" w:default="1">
    <w:name w:val="Normal"/>
    <w:qFormat/>
    <w:rPr>
      <w14:ligatures w14:val="none"/>
    </w:rPr>
  </w:style>
  <w:style w:type="paragraph" w:styleId="724">
    <w:name w:val="Heading 1"/>
    <w:basedOn w:val="723"/>
    <w:next w:val="72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23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Title"/>
    <w:basedOn w:val="723"/>
    <w:next w:val="72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33"/>
    <w:link w:val="747"/>
    <w:uiPriority w:val="10"/>
    <w:rPr>
      <w:sz w:val="48"/>
      <w:szCs w:val="48"/>
    </w:rPr>
  </w:style>
  <w:style w:type="paragraph" w:styleId="749">
    <w:name w:val="Subtitle"/>
    <w:basedOn w:val="723"/>
    <w:next w:val="72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33"/>
    <w:link w:val="749"/>
    <w:uiPriority w:val="11"/>
    <w:rPr>
      <w:sz w:val="24"/>
      <w:szCs w:val="24"/>
    </w:rPr>
  </w:style>
  <w:style w:type="paragraph" w:styleId="751">
    <w:name w:val="Quote"/>
    <w:basedOn w:val="723"/>
    <w:next w:val="723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3"/>
    <w:next w:val="723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Header Char"/>
    <w:basedOn w:val="733"/>
    <w:uiPriority w:val="99"/>
  </w:style>
  <w:style w:type="character" w:styleId="756" w:customStyle="1">
    <w:name w:val="Footer Char"/>
    <w:basedOn w:val="733"/>
    <w:uiPriority w:val="99"/>
  </w:style>
  <w:style w:type="paragraph" w:styleId="757">
    <w:name w:val="Caption"/>
    <w:basedOn w:val="723"/>
    <w:next w:val="723"/>
    <w:link w:val="75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8" w:customStyle="1">
    <w:name w:val="Название объекта Знак"/>
    <w:basedOn w:val="733"/>
    <w:link w:val="757"/>
    <w:uiPriority w:val="35"/>
    <w:rPr>
      <w:b/>
      <w:bCs/>
      <w:color w:val="4472c4" w:themeColor="accent1"/>
      <w:sz w:val="18"/>
      <w:szCs w:val="18"/>
    </w:rPr>
  </w:style>
  <w:style w:type="table" w:styleId="759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0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9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0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1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2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3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4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3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4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5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6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7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8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2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3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4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5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6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7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6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0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3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7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0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1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2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3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4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563c1" w:themeColor="hyperlink"/>
      <w:u w:val="single"/>
    </w:rPr>
  </w:style>
  <w:style w:type="paragraph" w:styleId="886">
    <w:name w:val="footnote text"/>
    <w:basedOn w:val="72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basedOn w:val="733"/>
    <w:uiPriority w:val="99"/>
    <w:unhideWhenUsed/>
    <w:rPr>
      <w:vertAlign w:val="superscript"/>
    </w:rPr>
  </w:style>
  <w:style w:type="paragraph" w:styleId="889">
    <w:name w:val="endnote text"/>
    <w:basedOn w:val="72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3"/>
    <w:uiPriority w:val="99"/>
    <w:semiHidden/>
    <w:unhideWhenUsed/>
    <w:rPr>
      <w:vertAlign w:val="superscript"/>
    </w:rPr>
  </w:style>
  <w:style w:type="paragraph" w:styleId="892">
    <w:name w:val="toc 1"/>
    <w:basedOn w:val="723"/>
    <w:next w:val="723"/>
    <w:uiPriority w:val="39"/>
    <w:unhideWhenUsed/>
    <w:pPr>
      <w:spacing w:after="57"/>
    </w:pPr>
  </w:style>
  <w:style w:type="paragraph" w:styleId="893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4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95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6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7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8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9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0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3"/>
    <w:next w:val="723"/>
    <w:uiPriority w:val="99"/>
    <w:unhideWhenUsed/>
    <w:pPr>
      <w:spacing w:after="0"/>
    </w:pPr>
  </w:style>
  <w:style w:type="paragraph" w:styleId="903">
    <w:name w:val="Header"/>
    <w:basedOn w:val="723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733"/>
    <w:link w:val="903"/>
    <w:uiPriority w:val="99"/>
    <w:rPr>
      <w14:ligatures w14:val="none"/>
    </w:rPr>
  </w:style>
  <w:style w:type="paragraph" w:styleId="905">
    <w:name w:val="Footer"/>
    <w:basedOn w:val="723"/>
    <w:link w:val="9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733"/>
    <w:link w:val="905"/>
    <w:uiPriority w:val="99"/>
    <w:rPr>
      <w14:ligatures w14:val="none"/>
    </w:rPr>
  </w:style>
  <w:style w:type="paragraph" w:styleId="907">
    <w:name w:val="Balloon Text"/>
    <w:basedOn w:val="723"/>
    <w:link w:val="90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basedOn w:val="733"/>
    <w:link w:val="907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909">
    <w:name w:val="annotation reference"/>
    <w:basedOn w:val="733"/>
    <w:uiPriority w:val="99"/>
    <w:semiHidden/>
    <w:unhideWhenUsed/>
    <w:rPr>
      <w:sz w:val="16"/>
      <w:szCs w:val="16"/>
    </w:rPr>
  </w:style>
  <w:style w:type="paragraph" w:styleId="910">
    <w:name w:val="annotation text"/>
    <w:basedOn w:val="723"/>
    <w:link w:val="91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1" w:customStyle="1">
    <w:name w:val="Текст примечания Знак"/>
    <w:basedOn w:val="733"/>
    <w:link w:val="910"/>
    <w:uiPriority w:val="99"/>
    <w:semiHidden/>
    <w:rPr>
      <w:sz w:val="20"/>
      <w:szCs w:val="20"/>
      <w14:ligatures w14:val="none"/>
    </w:rPr>
  </w:style>
  <w:style w:type="paragraph" w:styleId="912">
    <w:name w:val="annotation subject"/>
    <w:basedOn w:val="910"/>
    <w:next w:val="910"/>
    <w:link w:val="913"/>
    <w:uiPriority w:val="99"/>
    <w:semiHidden/>
    <w:unhideWhenUsed/>
    <w:rPr>
      <w:b/>
      <w:bCs/>
    </w:rPr>
  </w:style>
  <w:style w:type="character" w:styleId="913" w:customStyle="1">
    <w:name w:val="Тема примечания Знак"/>
    <w:basedOn w:val="911"/>
    <w:link w:val="912"/>
    <w:uiPriority w:val="99"/>
    <w:semiHidden/>
    <w:rPr>
      <w:b/>
      <w:bCs/>
      <w:sz w:val="20"/>
      <w:szCs w:val="20"/>
      <w14:ligatures w14:val="none"/>
    </w:rPr>
  </w:style>
  <w:style w:type="paragraph" w:styleId="914">
    <w:name w:val="Revision"/>
    <w:hidden/>
    <w:uiPriority w:val="99"/>
    <w:semiHidden/>
    <w:pPr>
      <w:spacing w:after="0" w:line="240" w:lineRule="auto"/>
    </w:pPr>
    <w:rPr>
      <w14:ligatures w14:val="none"/>
    </w:rPr>
  </w:style>
  <w:style w:type="paragraph" w:styleId="91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Масленин</dc:creator>
  <cp:keywords/>
  <dc:description/>
  <cp:lastModifiedBy>terekhinais</cp:lastModifiedBy>
  <cp:revision>37</cp:revision>
  <dcterms:created xsi:type="dcterms:W3CDTF">2025-06-03T13:47:00Z</dcterms:created>
  <dcterms:modified xsi:type="dcterms:W3CDTF">2026-04-24T07:21:09Z</dcterms:modified>
</cp:coreProperties>
</file>