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О внесении изменений в Порядок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утвержденный приказом Росалкогольтабакконтроля от 17 октября 2023 г. № 391 (далее – проект приказа)</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Федеральная служба по контролю за алкогольным и табачным рынками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Низкая степень</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02/08/04-26/00167621</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Уведомление не размещалось</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08.05.2026</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Абзац пятым пункта 2 статьи 1522.1 Гражданского кодекса Российской Федерации, пунктом 1 Указа Президента 
Российской Федерации от 8 августа 2023 г. № 587 «О некоторых вопросах государственного управления и контроля в области производства и оборота табачных изделий, табачной продукции, никотинсодержащей продукции и сырья для их производства» и абзацами первым – третьим пункта 1 постановления Правительства Российской Федерации от 8 августа 2020 г. № 1195 «О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Да</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В рамках оптимизации предоставления государственной услуги по выдаче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(алкогольной и спиртосодержащей продукции)</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Проект приказа разработан в соответствии с абзацем пятым пункта 2 статьи 1522.1 Гражданского кодекса Российской Федерации, пунктом 1 Указа Президента Российской Федерации от 8 августа 2023 г. № 587 «О некоторых вопросах государственного управления и контроля в области производства и оборота табачных изделий, табачной продукции, никотинсодержащей продукции и сырья для их производства» и абзацами первым – третьим пункта 1 постановления Правительства Российской Федерации от 8 августа 2020 г. № 1195«О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Наличие в действующем нормативном правовом акте Федеральной службы по контролю за алкогольным и табачным рынками положений, не актуализированных согласно актуальным тенденциям в государственном управлении, выраженных в переводе оказания государственных услуг на электронный формат</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Проблему предлагается решить принятием проекта приказа «О внесении изменений в Порядок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утвержденный приказом Росалкогольтабакконтроля от 17 октября 2023 г. № 391»</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2400</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Организации- производители алкогольной и спиртосодержащей продукции (организации, крестьянские (фермерские) хозяйства, индивидуальные предприниматели</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Федеральная служба по контролю за алкогольным и табачным рынками, Федеральная служба по интеллектуальной собственности</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0</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2</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0</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0</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федеральный государственный контроль (надзор) в области производства и оборота этилового спирта, алкогольной и спиртосодержащей продукции</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Отсутствует</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Проект акта не относится к сфере общественных отношений, относящихся к плану проведения оценки применения обязательных требований</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Проект акта не предусматривает установление новых условий, ограничений, запретов, обязанностей и не содержит новых затрат субъектов регулирования (издержки отсутствуют)</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Да</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Принятие проекта приказа не повлечёт за собой затраты субъектов регулирования.</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Х</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Предполагаемое регулирование не окажет влияния на доходы бюджетов</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Предполагаемое регулирование не окажет влияния на доходы бюджетов</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Да</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Предполагаемое регулирование не окажет влияния на доходы бюджетов</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Да</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Положение о подаче заявлений на получение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ЕПГУ) и выдаче заключений посредством ЕПГУ спроектировано с учетом принципа законности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в соответствии с Федеральным законом от 31 июля 2020 г. № 247-ФЗ «Об обязательных требованиях в Российской Федерации».</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Положение о подаче заявлений на получение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ЕПГУ) и выдаче заключений посредством ЕПГУ спроектировано с учетом принципа обоснованности в соответствии с положениями Федерального закона от 31 июля 2020 г. № 247-ФЗ «Об обязательных требованиях в Российской Федерации». 
Так, выдача подача указанных заявлений и выдача обозначенных заключений в электронном виде посредством ЕПГУ с использованием информационно-телекоммуникационной сети «Интернет» и соответствует современному уровню развития науки, техники и технологий.</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Положение о подаче заявлений на получение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в электронном виде посредством ЕПГУ и выдаче заключений посредством ЕПГУ спроектировано согласно принципу правовой определенности и системности Федерального закона от 31 июля 2020 г. 
№ 247-ФЗ «Об обязательных требованиях в Российской Федерации». 
То есть вводимое положение является ясным логичным, понятным как правоприменителю, так и иным лицам, не приводит к противоречиям при их применении, а также согласованно с целями и принципами законодательного регулирования.</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Проект акта соответствует принципу открытости и предсказуемости Федерального закона от 31 июля 2020 г. № 247-ФЗ «Об обязательных требованиях в Российской Федерации», поскольку проходил публичное обсуждение на портале regulation.gov.ru. 
Сроки вступления в силу нормативного правового акта, устанавливающего обязательные требования, определены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Проектируемые положения соответствуют принципу исполнимости обязательных требований Федерального закона от 31 июля 2020 г. 
№ 247-ФЗ «Об обязательных требованиях в Российской Федерации», новые затраты лиц, в отношении которых они устанавливаются, на их исполнение, не предусматриваются.</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Условия установления обязательных требований учитывают принципы статьи 10 Федерального закона от 31 июля 2020 г. № 247-ФЗ «Об обязательных требованиях в Российской Федерации» и включают в себя следующие показатели: содержание обязательных требований, обязанных их соблюдать лиц, форму оценки соблюдения обязательных требований, федеральные органы исполнительной власти и уполномоченные организации, осуществляющие оценку соблюдения обязательных требований, а также анализ объекта установления обязательных требований.</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Проектом приказа в соответствии с абзацем пятым пункта 2 статьи 1522.1 Гражданского кодекса Российской Федерации абзацами первым – третьим пункта 1 постановления Правительства Российской Федерации от 8 августа 2020 г. № 1195 «О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 а также тенденциями оптимизации оказания государственных услуг и перевода их в электронный вид изменяется порядок подачи заявления на выдачу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а также выдачи указанных заключений, которые будут направляться в электронном виде посредством ЕПГУ, исключая подачу в бумажном виде. Также проектом приказа предусматривается направление рассматриваемых заключений или уведомления об отказе в выдаче заключения посредством Единого портала.
Иных новых обязательных требований, иных обязанностей или ограничений, преимуществ для субъектов регулирования, информации об отмене требований, иных обязанностей или ограничений для субъектов регулирования проект приказа не предусматривает.</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Проектируемое регулирование затрагивает общественные отношения в области выдачи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
Перечень охраняемых законом ценностей - жизнь и здоровье граждан, права, свободы и законные интересы организаций.</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В случае непринятия проекта акта будет продолжена практика подачи заявлений на получение государственных услуг в бумажном виде, что замедляет рабочие процессы из‑за ручного оформления и передачи документов, требует значительных затрат на печать, а также негативно влияет на экологию из‑за повышенного расхода бумаги. 
При этом проектом приказа предлагается исключение предоставления заявлений и необходимых документов на бумаге в целях получения государственной услуги «Выдача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(алкогольной и спиртосодержащей продукции)» в целях, улучшающих положение субъектов предпринимательской и иной экономической деятельности, ввиду сокращения затрат на печать и хранение документации, упрощения взаимодействия бизнеса и государства, а также повышения удобства оформления документов. 
Причиненный вред (ущерб) охраняемым законом ценностям или возможные риски в связи с принятием проекта акта отсутствуют.</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В настоящее время действующие положения приказа Росалкогольтабакконтроля от 17 октября 2023 г. № 391 «Об утверждении Порядка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требуют актуализации в соответствии с тенденциями государственного управления, согласно которым курс на уход от бумаги был дан Заместителем Председателя Правительства Российской Федерации – Руководителем Аппарата Правительства Российской Федерации Д.Ю. Григоренко.
В качестве негативных эффектов при сохранении текущей ситуации можно отметить сохранение высокого бумажного документооборота юридических лиц и индивидуальных предпринимателей.</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Целями проектируемого регулирования являются:
сокращение количества предоставляемых документов в рамках получения государственной услуги, оказываемой Росалкогольтабакконтролем «Выдача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(алкогольной и спиртосодержащей продукции)» на бумажном носителе, что связано с целями сокращения затрат и ускорения бизнес-процессов.</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Сентябрь 2026 г.</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Проект приказа разработан в соответствии с абзацем пятым пункта 2 статьи 1522.1 Гражданского кодекса Российской Федерации, пунктом 1 Указа Президента 
Российской Федерации от 8 августа 2023 г. № 587 «О некоторых вопросах государственного управления и контроля в области производства и оборота табачных изделий, табачной продукции, никотинсодержащей продукции и сырья для их производства» и абзацами первым – третьим пункта 1 постановления Правительства Российской Федерации от 8 августа 2020 г. № 1195 
«О федеральных органах исполнительной власти, уполномоченных выдавать заключения, необходимые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и признании утратившими силу некоторых актов Правительства 
Российской Федерации» и направлен на исключение из нормативного правового акта требований, регулирующих предоставление государственной услуги, на бумажном носителе и документов личного хранения, иных документов, не находящихся в распоряжении органов власти согласно распоряжению Правительства Российской Федерации от 11 апреля 2022 г.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Содержание проекта приказа соответствует принципам правового регулирования, программным документам Президента Российской Федерации и Правительства Российской Федерации.</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1.Отсутствие жалоб, запросов и обращений от юридических лиц и индивидуальных предпринимателей, обращающихся в Росалкогольтабакконтроль за получением государственной услуги «Выдача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(алкогольной и спиртосодержащей продукции)». 
2. Количество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предоставленных посредством ЕПГУ. </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Шт</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Федеральная государственная информационная система «Единый портал государственных и муниципальных услуг (функций)», а также официальный сайт Федеральной службы по контролю за алкогольным и табачным рынками в информационно-телекоммуникационной сети «Интернет»
Также принимается во внимание учет жалоб, запросов и обращений лицензиатов, поступающих в Росалкогольтабакконтроль посредством электронной формы приема обращений, размещенной на официальном сайте Службы в информационно-телекоммуникационной сети «Интернет» по адресу: https://fsrar.gov.ru/feedback или посредством почтовой связи.</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Предлагаемым регулированием проектируется утверждение проекта приказа «О внесении изменений в Порядок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утвержденный приказом Росалкогольтабакконтроля от 17 октября 2023 г. № 391 (далее – проект приказа)». 
Выбор способа решения проблемы обусловлен необходимостью приведение положений приказа в соответствие с актуальными тенденциями в государственном управлении, выраженными в переводе оказания государственных услуг на электронный формат.
Иные способы решения проблемы отсутствуют. 
Положение о подаче заявлений на получение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в электронном виде посредством ЕПГУ, что повышает эффективность работы предпринимателей и организаций посредством снижения бумажного документооборота. </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Анализ опыта применения сопоставимых норм регулирования в рамках отдельных государств Евразийского экономического союза (ЕАЭС) был проведен в части общественных отношений, регулирующих интеллектуальную собственность Евразийского экономического союза – регистрацию, правовую охрану и использование наименований мест происхождения товаров Евразийского экономического союза. 
В частности, детально изучено решение Коллегии Евразийской экономической комиссии от 20 июня 2023 г. № 81«Об утверждении Правил реализации общего процесса «Регистрация, правовая охрана и использование наименований мест происхождения товаров Евразийского экономического союза»
Проведенный анализ показал отсутствие последствий для ЕАЭС в части рисков возникновения препятствий для свободного движения товаров, услуг, капитала, рабочей силы в рамках функционирования внутреннего рынка Союза. 
Проект приказа соответствует положениям Договора о Евразийском экономическом союзе, а также положениям иных международных договоров Российской Федерации.</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Риски решения проблемы предложенным способом регулирования и риски негативных последствий отсутствуют.</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Организации- производители алкогольной и спиртосодержащей продукции (организации, крестьянские (фермерские) хозяйства, индивидуальные предприниматели)</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2400</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Федеральная служба по контролю за алкогольным и табачным рынками, Федеральная служба по интеллектуальной собственности</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2</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0</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0</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Проект приказа «О внесении изменений в Порядок выдачи Федеральной службой 
по контролю за алкогольным и табачным рынками заключений,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алкогольной и спиртосодержащей продукции, утвержденный приказом Росалкогольтабакконтроля 
от 17 октября 2023 г. № 391»</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2400
Организации- производители алкогольной и спиртосодержащей продукции (организации, крестьянские (фермерские) хозяйства, индивидуальные предприниматели)</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0</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0</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0</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0</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2</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Выдача Федеральной службой по контролю за алкогольным и табачным рынками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в срок не более одного рабочего дня со дня регистрации Федеральной службой по контролю за алкогольным и табачным рынками заявления с учетом межведомственного взаимодействия с Федеральной службой по интеллектуальной собственности.</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0</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0</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2</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Выдача Федеральной службой по контролю за алкогольным и табачным рынками выписок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в срок не более одного рабочего дня со дня регистрации Федеральной службой по контролю за алкогольным и табачным рынками заявления с учетом межведомственного взаимодействия с Федеральной службой по интеллектуальной собственности.</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Дополнительные сведения отсутствуют.</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01.09.2026</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Нет </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Эксперимент не проводился </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Зубарев Святослав Вячеславович </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Начальник отдела координации приоритетных направлений деятельности </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Управление стратегических направлений деятельности </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(495)587-03-33*01713 </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zubarev-sv@fsrar.ru </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А.В. Моисеев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01.04.2026</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