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819"/>
      </w:tblGrid>
      <w:tr w:rsidR="007C1B57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B57" w:rsidRDefault="007C1B57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C1B57" w:rsidRDefault="00411E9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7C1B57" w:rsidRDefault="00411E9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культуры</w:t>
            </w:r>
          </w:p>
          <w:p w:rsidR="007C1B57" w:rsidRDefault="00411E9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7C1B57" w:rsidRDefault="007C1B57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C1B57" w:rsidRDefault="00411E9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 2026 г. № _____</w:t>
            </w:r>
          </w:p>
          <w:p w:rsidR="007C1B57" w:rsidRDefault="007C1B5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7C1B57" w:rsidRDefault="007C1B57">
      <w:pPr>
        <w:pStyle w:val="ConsPlusNormal"/>
        <w:spacing w:line="360" w:lineRule="auto"/>
        <w:rPr>
          <w:sz w:val="28"/>
          <w:szCs w:val="28"/>
        </w:rPr>
      </w:pPr>
    </w:p>
    <w:p w:rsidR="007C1B57" w:rsidRDefault="007C1B57">
      <w:pPr>
        <w:pStyle w:val="ConsPlusNormal"/>
        <w:spacing w:line="360" w:lineRule="auto"/>
        <w:rPr>
          <w:sz w:val="28"/>
          <w:szCs w:val="28"/>
        </w:rPr>
      </w:pPr>
    </w:p>
    <w:p w:rsidR="007C1B57" w:rsidRDefault="007C1B57">
      <w:pPr>
        <w:pStyle w:val="ConsPlusNormal"/>
        <w:spacing w:line="360" w:lineRule="auto"/>
        <w:rPr>
          <w:sz w:val="28"/>
          <w:szCs w:val="28"/>
        </w:rPr>
      </w:pPr>
    </w:p>
    <w:p w:rsidR="007C1B57" w:rsidRDefault="007C1B57">
      <w:pPr>
        <w:pStyle w:val="ConsPlusNormal"/>
        <w:spacing w:line="360" w:lineRule="auto"/>
        <w:rPr>
          <w:sz w:val="28"/>
          <w:szCs w:val="28"/>
        </w:rPr>
      </w:pPr>
    </w:p>
    <w:p w:rsidR="007C1B57" w:rsidRDefault="00411E9A">
      <w:pPr>
        <w:pStyle w:val="ConsPlusNormal"/>
        <w:spacing w:after="170"/>
        <w:jc w:val="center"/>
        <w:rPr>
          <w:rStyle w:val="af6"/>
          <w:color w:val="0F1115"/>
          <w:sz w:val="28"/>
          <w:szCs w:val="28"/>
        </w:rPr>
      </w:pPr>
      <w:r>
        <w:rPr>
          <w:rStyle w:val="af6"/>
          <w:iCs/>
          <w:color w:val="0F1115"/>
          <w:sz w:val="28"/>
          <w:szCs w:val="28"/>
        </w:rPr>
        <w:t>П Р А В И Л А</w:t>
      </w:r>
    </w:p>
    <w:p w:rsidR="007C1B57" w:rsidRDefault="00411E9A">
      <w:pPr>
        <w:pStyle w:val="ConsPlusNormal"/>
        <w:jc w:val="center"/>
        <w:rPr>
          <w:b/>
          <w:bCs/>
          <w:sz w:val="28"/>
          <w:szCs w:val="28"/>
        </w:rPr>
      </w:pPr>
      <w:r>
        <w:rPr>
          <w:rStyle w:val="af6"/>
          <w:iCs/>
          <w:color w:val="0F1115"/>
          <w:sz w:val="28"/>
          <w:szCs w:val="28"/>
        </w:rPr>
        <w:t>рассмотрения запросов субъектов персональных данных</w:t>
      </w:r>
      <w:r>
        <w:rPr>
          <w:rStyle w:val="af6"/>
          <w:iCs/>
          <w:color w:val="0F1115"/>
          <w:sz w:val="28"/>
          <w:szCs w:val="28"/>
        </w:rPr>
        <w:br/>
        <w:t xml:space="preserve">или их представителей в </w:t>
      </w:r>
      <w:r>
        <w:rPr>
          <w:rStyle w:val="af6"/>
          <w:iCs/>
          <w:sz w:val="28"/>
          <w:szCs w:val="28"/>
        </w:rPr>
        <w:t>Министерстве культуры Российской Федерации</w:t>
      </w:r>
      <w:r w:rsidR="00872E79" w:rsidRPr="00872E79">
        <w:rPr>
          <w:rStyle w:val="af6"/>
          <w:i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color w:val="0F1115"/>
          <w:sz w:val="28"/>
          <w:szCs w:val="28"/>
        </w:rPr>
        <w:t>и его территориальных органах</w:t>
      </w:r>
    </w:p>
    <w:p w:rsidR="007C1B57" w:rsidRDefault="007C1B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C1B57" w:rsidRDefault="00411E9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1. Лица, указанные в пункте 3 Правил обработки персональных данных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Министерстве культуры Российской Федерации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 его территориальных органах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утвержденных настоящим приказом (далее соответственно –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Правила обработки персональных данных, Министерство), имеют право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получение в Министерстве и его территориальных органах информации, касающейся обработки их персональных данных, в том числе содержащей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подтверждение факта обработки персональных данных;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правовые основания и цели обработки персональных данных;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цели и применяемые способы обработки персональных данных;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наименование и место нахождения Министерства и его территориальных органов, сведения о лицах, которые имеют доступ</w:t>
      </w:r>
      <w:r>
        <w:rPr>
          <w:sz w:val="28"/>
          <w:szCs w:val="28"/>
        </w:rPr>
        <w:br/>
        <w:t>к персональным данным или которым могут быть раскрыты персональные данные на основании договора или на основании федерального закона,</w:t>
      </w:r>
      <w:r>
        <w:rPr>
          <w:sz w:val="28"/>
          <w:szCs w:val="28"/>
        </w:rPr>
        <w:br/>
        <w:t>за исключением федеральных государственных гражданских служащих Министерства и его территориальных органов, непосредственно осуществляющих обработку персональных данных;</w:t>
      </w:r>
    </w:p>
    <w:p w:rsidR="007C1B57" w:rsidRDefault="00411E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5) обрабатываемые персональные данные, относящиеся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соответствующему субъекту персональных данных, источник их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получения, если иной порядок представления таких данных не предусмотрен федеральным законом;</w:t>
      </w:r>
    </w:p>
    <w:p w:rsidR="007C1B57" w:rsidRDefault="00411E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 сроки обработки персональных данных, в том числе сроки их хранения;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порядок осуществления субъектом персональных данных прав, предусмотренных Федеральным законом </w:t>
      </w:r>
      <w:r>
        <w:rPr>
          <w:color w:val="000000"/>
          <w:sz w:val="28"/>
          <w:szCs w:val="28"/>
        </w:rPr>
        <w:t>«О персональных данных»</w:t>
      </w:r>
      <w:r>
        <w:rPr>
          <w:sz w:val="28"/>
          <w:szCs w:val="28"/>
        </w:rPr>
        <w:t>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информацию об осуществленной или о предполагаемой трансграничной передаче данных;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полное наименование организации или фамилию, имя, отчество</w:t>
      </w:r>
      <w:r>
        <w:rPr>
          <w:sz w:val="28"/>
          <w:szCs w:val="28"/>
        </w:rPr>
        <w:br/>
        <w:t>(при наличии) и адрес лица, осуществляющего обработку персональных данных по поручению Министерства и его территориальных органов, если обработка поручена или будет поручена такой организации или лицу;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информацию о способах исполнения обязанностей, установленных </w:t>
      </w:r>
      <w:r>
        <w:rPr>
          <w:sz w:val="28"/>
          <w:szCs w:val="28"/>
        </w:rPr>
        <w:br/>
        <w:t>статьей 18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</w:t>
      </w:r>
      <w:r>
        <w:rPr>
          <w:color w:val="000000"/>
          <w:sz w:val="28"/>
          <w:szCs w:val="28"/>
        </w:rPr>
        <w:t>«О персональных данных»</w:t>
      </w:r>
      <w:r>
        <w:rPr>
          <w:sz w:val="28"/>
          <w:szCs w:val="28"/>
        </w:rPr>
        <w:t>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иные сведения, предусмотренные законодательством</w:t>
      </w:r>
      <w:r>
        <w:rPr>
          <w:sz w:val="28"/>
          <w:szCs w:val="28"/>
        </w:rPr>
        <w:br/>
        <w:t>Российской Федерации в области персональных данных</w:t>
      </w:r>
      <w:r>
        <w:rPr>
          <w:sz w:val="28"/>
          <w:szCs w:val="28"/>
          <w:vertAlign w:val="superscript"/>
        </w:rPr>
        <w:footnoteReference w:id="2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Лица, указанные в пункте 3 Правил обработки персональных данных, вправе требовать в Министерстве и его территориальных органах уточнения их персональных данных, их блокирования или уничтожения в случае,</w:t>
      </w:r>
      <w:r>
        <w:rPr>
          <w:sz w:val="28"/>
          <w:szCs w:val="28"/>
        </w:rPr>
        <w:br/>
        <w:t>если персональные данные являются неполными, устаревшими, неточными, незаконно полученными или не являются необходимыми для заявленной</w:t>
      </w:r>
      <w:r>
        <w:rPr>
          <w:sz w:val="28"/>
          <w:szCs w:val="28"/>
        </w:rPr>
        <w:br/>
        <w:t>цели обработки, а также принимать предусмотренные законом меры</w:t>
      </w:r>
      <w:r>
        <w:rPr>
          <w:sz w:val="28"/>
          <w:szCs w:val="28"/>
        </w:rPr>
        <w:br/>
        <w:t>по защите своих прав</w:t>
      </w:r>
      <w:r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Сведения, указанные в пункте 1 настоящих Правил, должны быть предоставлены субъекту персональных данных в доступной форме,</w:t>
      </w:r>
      <w:r>
        <w:rPr>
          <w:sz w:val="28"/>
          <w:szCs w:val="28"/>
        </w:rPr>
        <w:br/>
        <w:t>и в них не должны содержаться персональные данные, относящиеся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к другим субъектам персональных данных, за исключением случаев, если имеются законные основания для раскрытия таких персональных данных</w:t>
      </w:r>
      <w:r>
        <w:rPr>
          <w:sz w:val="28"/>
          <w:szCs w:val="28"/>
          <w:vertAlign w:val="superscript"/>
        </w:rPr>
        <w:footnoteReference w:id="4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Сведения, указанные в </w:t>
      </w:r>
      <w:hyperlink w:anchor="P197" w:tooltip="1. Лица, указанные в пункте 3 правил обработки персональных данных Федерального агентства воздушного транспорта и его территориальных органах, утвержденных настоящим приказом (далее - правила обработки персональных данных), имеют право на получение в Федеральн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настоящих Правил, предоставляются субъекту персональных данных или его представителю уполномоченным должностным лицом структурного подразделения Министерства и его территориальных органов, осуществляющим обработку соответствующих персональных данных, в течение десяти рабочих дней с момента обращения либо получения Министерством и его территориальными органами запроса субъекта персональных данных или его представителя</w:t>
      </w:r>
      <w:r>
        <w:rPr>
          <w:sz w:val="28"/>
          <w:szCs w:val="28"/>
          <w:vertAlign w:val="superscript"/>
        </w:rPr>
        <w:footnoteReference w:id="5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1" w:name="P227"/>
      <w:bookmarkEnd w:id="1"/>
      <w:r>
        <w:rPr>
          <w:sz w:val="28"/>
          <w:szCs w:val="28"/>
        </w:rPr>
        <w:t>5. Запрос должен содержать</w:t>
      </w:r>
      <w:r>
        <w:rPr>
          <w:sz w:val="28"/>
          <w:szCs w:val="28"/>
          <w:vertAlign w:val="superscript"/>
        </w:rPr>
        <w:footnoteReference w:id="6"/>
      </w:r>
      <w:r>
        <w:rPr>
          <w:sz w:val="28"/>
          <w:szCs w:val="28"/>
        </w:rPr>
        <w:t>: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сведения, подтверждающие участие субъекта персональных данных </w:t>
      </w:r>
      <w:r>
        <w:rPr>
          <w:sz w:val="28"/>
          <w:szCs w:val="28"/>
        </w:rPr>
        <w:br/>
        <w:t>в отношениях с Министерством и его территориальными органами</w:t>
      </w:r>
      <w:r>
        <w:rPr>
          <w:sz w:val="28"/>
          <w:szCs w:val="28"/>
        </w:rPr>
        <w:br/>
        <w:t>(документ, подтверждающий прием документов на участие в конкурсе</w:t>
      </w:r>
      <w:r>
        <w:rPr>
          <w:sz w:val="28"/>
          <w:szCs w:val="28"/>
        </w:rPr>
        <w:br/>
        <w:t>на замещение вакантных должностей государственной гражданской службы, предоставление государственной услуги или осуществление государственной функции Министерством), либо сведения, иным образом подтверждающие факт обработки персональных данных;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подпись субъекта персональных данных или его представителя;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запрос может быть направлен в форме электронного документа</w:t>
      </w:r>
      <w:r>
        <w:rPr>
          <w:sz w:val="28"/>
          <w:szCs w:val="28"/>
        </w:rPr>
        <w:br/>
        <w:t xml:space="preserve">и подписан электронной подписью в соответствии с требованиями Федерального </w:t>
      </w:r>
      <w:hyperlink r:id="rId8" w:tooltip="Федеральный закон от 06.04.2011 N 63-ФЗ (ред. от 31.07.2025) &quot;Об электронной подписи&quot; {КонсультантПлюс}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6 апреля 2011 г. № 63-ФЗ «Об электронной подписи».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bookmarkStart w:id="2" w:name="P235"/>
      <w:bookmarkEnd w:id="2"/>
      <w:r>
        <w:rPr>
          <w:sz w:val="28"/>
          <w:szCs w:val="28"/>
        </w:rPr>
        <w:t>6. В случае если сведения, указанные в пункте 1 настоящих Правил,</w:t>
      </w:r>
      <w:r>
        <w:rPr>
          <w:sz w:val="28"/>
          <w:szCs w:val="28"/>
        </w:rPr>
        <w:br/>
        <w:t>а также обрабатываемые персональные данные были предоставлены</w:t>
      </w:r>
      <w:r>
        <w:rPr>
          <w:sz w:val="28"/>
          <w:szCs w:val="28"/>
        </w:rPr>
        <w:br/>
        <w:t xml:space="preserve">для ознакомления субъекту персональных данных по его запросу, субъект </w:t>
      </w:r>
      <w:r>
        <w:rPr>
          <w:sz w:val="28"/>
          <w:szCs w:val="28"/>
        </w:rPr>
        <w:lastRenderedPageBreak/>
        <w:t>персональных данных вправе обратиться повторно в Министерство и его территориальные органы или направить повторный запрос в целях</w:t>
      </w:r>
      <w:r>
        <w:rPr>
          <w:sz w:val="28"/>
          <w:szCs w:val="28"/>
        </w:rPr>
        <w:br/>
        <w:t>получения указанных сведений и ознакомления с ними не ранее чем</w:t>
      </w:r>
      <w:r>
        <w:rPr>
          <w:sz w:val="28"/>
          <w:szCs w:val="28"/>
        </w:rPr>
        <w:br/>
        <w:t>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</w:t>
      </w:r>
      <w:r>
        <w:rPr>
          <w:sz w:val="28"/>
          <w:szCs w:val="28"/>
          <w:vertAlign w:val="superscript"/>
        </w:rPr>
        <w:footnoteReference w:id="7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Субъект персональных данных вправе обратиться повторно </w:t>
      </w:r>
      <w:r>
        <w:rPr>
          <w:sz w:val="28"/>
          <w:szCs w:val="28"/>
        </w:rPr>
        <w:br/>
        <w:t>в Министерство и его территориальные органы или направить</w:t>
      </w:r>
      <w:r>
        <w:rPr>
          <w:sz w:val="28"/>
          <w:szCs w:val="28"/>
        </w:rPr>
        <w:br/>
        <w:t>повторный запрос в целях получения сведений, указанных в пункте 1 настоящих Правил, а также в целях ознакомления с обрабатываемыми персональными данными до истечения срока, указанного в пункте 6 настоящих Правил, в случае если такие сведения и (или) обрабатываемые персональные данные не были предоставлены ему для ознакомления</w:t>
      </w:r>
      <w:r>
        <w:rPr>
          <w:sz w:val="28"/>
          <w:szCs w:val="28"/>
        </w:rPr>
        <w:br/>
        <w:t>в полном объеме по результатам рассмотрения первоначального обращения. Повторный запрос наряду со сведениями, указанными в пункте 5</w:t>
      </w:r>
      <w:r>
        <w:rPr>
          <w:sz w:val="28"/>
          <w:szCs w:val="28"/>
        </w:rPr>
        <w:br/>
        <w:t>настоящих Правил, должен содержать обоснование направления</w:t>
      </w:r>
      <w:r>
        <w:rPr>
          <w:sz w:val="28"/>
          <w:szCs w:val="28"/>
        </w:rPr>
        <w:br/>
        <w:t>повторного запроса</w:t>
      </w:r>
      <w:r>
        <w:rPr>
          <w:sz w:val="28"/>
          <w:szCs w:val="28"/>
          <w:vertAlign w:val="superscript"/>
        </w:rPr>
        <w:footnoteReference w:id="8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Министерство и его территориальные органы вправе отказать субъекту персональных данных в выполнении повторного запроса,</w:t>
      </w:r>
      <w:r>
        <w:rPr>
          <w:sz w:val="28"/>
          <w:szCs w:val="28"/>
        </w:rPr>
        <w:br/>
        <w:t>не соответствующего условиям, предусмотренным пунктами 6 и 7</w:t>
      </w:r>
      <w:r>
        <w:rPr>
          <w:sz w:val="28"/>
          <w:szCs w:val="28"/>
        </w:rPr>
        <w:br/>
        <w:t>настоящих Правил. Такой отказ должен быть мотивированным.</w:t>
      </w:r>
      <w:r>
        <w:rPr>
          <w:sz w:val="28"/>
          <w:szCs w:val="28"/>
        </w:rPr>
        <w:br/>
        <w:t>Обязанность представления доказательств обоснованности отказа</w:t>
      </w:r>
      <w:r>
        <w:rPr>
          <w:sz w:val="28"/>
          <w:szCs w:val="28"/>
        </w:rPr>
        <w:br/>
        <w:t>в выполнении повторного запроса лежит на Министерстве и его территориальных органах</w:t>
      </w:r>
      <w:r>
        <w:rPr>
          <w:sz w:val="28"/>
          <w:szCs w:val="28"/>
          <w:vertAlign w:val="superscript"/>
        </w:rPr>
        <w:footnoteReference w:id="9"/>
      </w:r>
      <w:r>
        <w:rPr>
          <w:sz w:val="28"/>
          <w:szCs w:val="28"/>
        </w:rPr>
        <w:t>.</w:t>
      </w:r>
    </w:p>
    <w:p w:rsidR="007C1B57" w:rsidRDefault="00411E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 Право субъекта персональных данных на доступ к его персональным данным может быть ограничено в соответствии с федеральными законами,</w:t>
      </w:r>
      <w:r>
        <w:rPr>
          <w:sz w:val="28"/>
          <w:szCs w:val="28"/>
        </w:rPr>
        <w:br/>
        <w:t>в том числе если доступ субъекта персональных данных к его персональным данным нарушает права и законные интересы третьих лиц</w:t>
      </w:r>
      <w:r>
        <w:rPr>
          <w:sz w:val="28"/>
          <w:szCs w:val="28"/>
          <w:vertAlign w:val="superscript"/>
        </w:rPr>
        <w:footnoteReference w:id="10"/>
      </w:r>
      <w:r>
        <w:rPr>
          <w:sz w:val="28"/>
          <w:szCs w:val="28"/>
        </w:rPr>
        <w:t>.</w:t>
      </w:r>
    </w:p>
    <w:sectPr w:rsidR="007C1B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8D3" w:rsidRDefault="002F28D3">
      <w:pPr>
        <w:spacing w:after="0" w:line="240" w:lineRule="auto"/>
      </w:pPr>
      <w:r>
        <w:separator/>
      </w:r>
    </w:p>
  </w:endnote>
  <w:endnote w:type="continuationSeparator" w:id="0">
    <w:p w:rsidR="002F28D3" w:rsidRDefault="002F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8D3" w:rsidRDefault="002F28D3">
      <w:pPr>
        <w:spacing w:after="0" w:line="240" w:lineRule="auto"/>
      </w:pPr>
      <w:r>
        <w:separator/>
      </w:r>
    </w:p>
  </w:footnote>
  <w:footnote w:type="continuationSeparator" w:id="0">
    <w:p w:rsidR="002F28D3" w:rsidRDefault="002F28D3">
      <w:pPr>
        <w:spacing w:after="0" w:line="240" w:lineRule="auto"/>
      </w:pPr>
      <w:r>
        <w:continuationSeparator/>
      </w:r>
    </w:p>
  </w:footnote>
  <w:footnote w:id="1">
    <w:p w:rsidR="007C1B57" w:rsidRDefault="00411E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 Часть 7 статьи 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(далее – Федеральный закон «О персональных данных»).</w:t>
      </w:r>
    </w:p>
  </w:footnote>
  <w:footnote w:id="2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Часть 1 статьи 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3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Часть 1 статьи 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4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2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5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3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6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3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7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4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8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5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9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6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  <w:footnote w:id="10">
    <w:p w:rsidR="007C1B57" w:rsidRDefault="00411E9A">
      <w:pPr>
        <w:pStyle w:val="ad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8 статьи 14 Федерального закона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«О персональных данных»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39348"/>
      <w:docPartObj>
        <w:docPartGallery w:val="Page Numbers (Top of Page)"/>
        <w:docPartUnique/>
      </w:docPartObj>
    </w:sdtPr>
    <w:sdtEndPr/>
    <w:sdtContent>
      <w:p w:rsidR="007C1B57" w:rsidRDefault="00411E9A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2E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1B57" w:rsidRDefault="007C1B57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57A7"/>
    <w:multiLevelType w:val="hybridMultilevel"/>
    <w:tmpl w:val="BF9A165E"/>
    <w:lvl w:ilvl="0" w:tplc="59F437E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6D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949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685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E2F7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8C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25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E04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891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10D7D"/>
    <w:multiLevelType w:val="hybridMultilevel"/>
    <w:tmpl w:val="54BC49A4"/>
    <w:lvl w:ilvl="0" w:tplc="8644481E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AE6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FC66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7A2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2A8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9B01C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1E82E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A2729B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CC461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52B577F"/>
    <w:multiLevelType w:val="hybridMultilevel"/>
    <w:tmpl w:val="B78E65FA"/>
    <w:lvl w:ilvl="0" w:tplc="BD0643D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96AD1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C845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82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66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EC3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1C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C7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F8E6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3909"/>
    <w:multiLevelType w:val="hybridMultilevel"/>
    <w:tmpl w:val="BEEE59C4"/>
    <w:lvl w:ilvl="0" w:tplc="2D72D0A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B6B966">
      <w:start w:val="1"/>
      <w:numFmt w:val="decimal"/>
      <w:lvlText w:val="%2)"/>
      <w:lvlJc w:val="left"/>
      <w:pPr>
        <w:ind w:left="1440" w:hanging="360"/>
      </w:pPr>
    </w:lvl>
    <w:lvl w:ilvl="2" w:tplc="FACE42D8">
      <w:start w:val="1"/>
      <w:numFmt w:val="lowerRoman"/>
      <w:lvlText w:val="%3."/>
      <w:lvlJc w:val="right"/>
      <w:pPr>
        <w:ind w:left="2160" w:hanging="180"/>
      </w:pPr>
    </w:lvl>
    <w:lvl w:ilvl="3" w:tplc="B484CD7E">
      <w:start w:val="1"/>
      <w:numFmt w:val="decimal"/>
      <w:lvlText w:val="%4."/>
      <w:lvlJc w:val="left"/>
      <w:pPr>
        <w:ind w:left="2880" w:hanging="360"/>
      </w:pPr>
    </w:lvl>
    <w:lvl w:ilvl="4" w:tplc="19F0904C">
      <w:start w:val="1"/>
      <w:numFmt w:val="lowerLetter"/>
      <w:lvlText w:val="%5."/>
      <w:lvlJc w:val="left"/>
      <w:pPr>
        <w:ind w:left="3600" w:hanging="360"/>
      </w:pPr>
    </w:lvl>
    <w:lvl w:ilvl="5" w:tplc="5C7C8AF8">
      <w:start w:val="1"/>
      <w:numFmt w:val="lowerRoman"/>
      <w:lvlText w:val="%6."/>
      <w:lvlJc w:val="right"/>
      <w:pPr>
        <w:ind w:left="4320" w:hanging="180"/>
      </w:pPr>
    </w:lvl>
    <w:lvl w:ilvl="6" w:tplc="EC0E9D26">
      <w:start w:val="1"/>
      <w:numFmt w:val="decimal"/>
      <w:lvlText w:val="%7."/>
      <w:lvlJc w:val="left"/>
      <w:pPr>
        <w:ind w:left="5040" w:hanging="360"/>
      </w:pPr>
    </w:lvl>
    <w:lvl w:ilvl="7" w:tplc="44BE8FC4">
      <w:start w:val="1"/>
      <w:numFmt w:val="lowerLetter"/>
      <w:lvlText w:val="%8."/>
      <w:lvlJc w:val="left"/>
      <w:pPr>
        <w:ind w:left="5760" w:hanging="360"/>
      </w:pPr>
    </w:lvl>
    <w:lvl w:ilvl="8" w:tplc="F7C048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A7EAD"/>
    <w:multiLevelType w:val="hybridMultilevel"/>
    <w:tmpl w:val="FFC03388"/>
    <w:lvl w:ilvl="0" w:tplc="459CE6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226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4898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CCE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8C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EB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4C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7EB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CAD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D6C87"/>
    <w:multiLevelType w:val="hybridMultilevel"/>
    <w:tmpl w:val="AFFA9862"/>
    <w:lvl w:ilvl="0" w:tplc="91DC52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6EA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66B6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FECB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49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DCC1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34E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436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C4A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16067"/>
    <w:multiLevelType w:val="hybridMultilevel"/>
    <w:tmpl w:val="286C1BEA"/>
    <w:lvl w:ilvl="0" w:tplc="4C1EB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A30D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D647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C6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0A2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4DE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B4D0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6A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AE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34EA1"/>
    <w:multiLevelType w:val="hybridMultilevel"/>
    <w:tmpl w:val="60A02F98"/>
    <w:lvl w:ilvl="0" w:tplc="5E44E232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FA83886">
      <w:start w:val="1"/>
      <w:numFmt w:val="lowerLetter"/>
      <w:lvlText w:val="%2."/>
      <w:lvlJc w:val="left"/>
      <w:pPr>
        <w:ind w:left="1440" w:hanging="360"/>
      </w:pPr>
    </w:lvl>
    <w:lvl w:ilvl="2" w:tplc="E834CCEA">
      <w:start w:val="1"/>
      <w:numFmt w:val="lowerRoman"/>
      <w:lvlText w:val="%3."/>
      <w:lvlJc w:val="right"/>
      <w:pPr>
        <w:ind w:left="2160" w:hanging="180"/>
      </w:pPr>
    </w:lvl>
    <w:lvl w:ilvl="3" w:tplc="DBFE2116">
      <w:start w:val="1"/>
      <w:numFmt w:val="decimal"/>
      <w:lvlText w:val="%4."/>
      <w:lvlJc w:val="left"/>
      <w:pPr>
        <w:ind w:left="2880" w:hanging="360"/>
      </w:pPr>
    </w:lvl>
    <w:lvl w:ilvl="4" w:tplc="98BA8A52">
      <w:start w:val="1"/>
      <w:numFmt w:val="lowerLetter"/>
      <w:lvlText w:val="%5."/>
      <w:lvlJc w:val="left"/>
      <w:pPr>
        <w:ind w:left="3600" w:hanging="360"/>
      </w:pPr>
    </w:lvl>
    <w:lvl w:ilvl="5" w:tplc="DC067D88">
      <w:start w:val="1"/>
      <w:numFmt w:val="lowerRoman"/>
      <w:lvlText w:val="%6."/>
      <w:lvlJc w:val="right"/>
      <w:pPr>
        <w:ind w:left="4320" w:hanging="180"/>
      </w:pPr>
    </w:lvl>
    <w:lvl w:ilvl="6" w:tplc="5470C4EA">
      <w:start w:val="1"/>
      <w:numFmt w:val="decimal"/>
      <w:lvlText w:val="%7."/>
      <w:lvlJc w:val="left"/>
      <w:pPr>
        <w:ind w:left="5040" w:hanging="360"/>
      </w:pPr>
    </w:lvl>
    <w:lvl w:ilvl="7" w:tplc="01F2F42E">
      <w:start w:val="1"/>
      <w:numFmt w:val="lowerLetter"/>
      <w:lvlText w:val="%8."/>
      <w:lvlJc w:val="left"/>
      <w:pPr>
        <w:ind w:left="5760" w:hanging="360"/>
      </w:pPr>
    </w:lvl>
    <w:lvl w:ilvl="8" w:tplc="455669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71953"/>
    <w:multiLevelType w:val="hybridMultilevel"/>
    <w:tmpl w:val="6450B2F4"/>
    <w:lvl w:ilvl="0" w:tplc="E9D074CA">
      <w:start w:val="1"/>
      <w:numFmt w:val="decimal"/>
      <w:lvlText w:val="%1."/>
      <w:lvlJc w:val="left"/>
      <w:pPr>
        <w:ind w:left="1800" w:hanging="360"/>
      </w:pPr>
    </w:lvl>
    <w:lvl w:ilvl="1" w:tplc="D9DEA97C">
      <w:start w:val="1"/>
      <w:numFmt w:val="lowerLetter"/>
      <w:lvlText w:val="%2."/>
      <w:lvlJc w:val="left"/>
      <w:pPr>
        <w:ind w:left="2520" w:hanging="360"/>
      </w:pPr>
    </w:lvl>
    <w:lvl w:ilvl="2" w:tplc="8E98F978">
      <w:start w:val="1"/>
      <w:numFmt w:val="lowerRoman"/>
      <w:lvlText w:val="%3."/>
      <w:lvlJc w:val="right"/>
      <w:pPr>
        <w:ind w:left="3240" w:hanging="180"/>
      </w:pPr>
    </w:lvl>
    <w:lvl w:ilvl="3" w:tplc="072C66CC">
      <w:start w:val="1"/>
      <w:numFmt w:val="decimal"/>
      <w:lvlText w:val="%4."/>
      <w:lvlJc w:val="left"/>
      <w:pPr>
        <w:ind w:left="3960" w:hanging="360"/>
      </w:pPr>
    </w:lvl>
    <w:lvl w:ilvl="4" w:tplc="35383020">
      <w:start w:val="1"/>
      <w:numFmt w:val="lowerLetter"/>
      <w:lvlText w:val="%5."/>
      <w:lvlJc w:val="left"/>
      <w:pPr>
        <w:ind w:left="4680" w:hanging="360"/>
      </w:pPr>
    </w:lvl>
    <w:lvl w:ilvl="5" w:tplc="853480E6">
      <w:start w:val="1"/>
      <w:numFmt w:val="lowerRoman"/>
      <w:lvlText w:val="%6."/>
      <w:lvlJc w:val="right"/>
      <w:pPr>
        <w:ind w:left="5400" w:hanging="180"/>
      </w:pPr>
    </w:lvl>
    <w:lvl w:ilvl="6" w:tplc="6936A45E">
      <w:start w:val="1"/>
      <w:numFmt w:val="decimal"/>
      <w:lvlText w:val="%7."/>
      <w:lvlJc w:val="left"/>
      <w:pPr>
        <w:ind w:left="6120" w:hanging="360"/>
      </w:pPr>
    </w:lvl>
    <w:lvl w:ilvl="7" w:tplc="354C2762">
      <w:start w:val="1"/>
      <w:numFmt w:val="lowerLetter"/>
      <w:lvlText w:val="%8."/>
      <w:lvlJc w:val="left"/>
      <w:pPr>
        <w:ind w:left="6840" w:hanging="360"/>
      </w:pPr>
    </w:lvl>
    <w:lvl w:ilvl="8" w:tplc="29DEA32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CE773A"/>
    <w:multiLevelType w:val="hybridMultilevel"/>
    <w:tmpl w:val="6FA6D374"/>
    <w:lvl w:ilvl="0" w:tplc="83B8A5E8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9EA390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513CC158">
      <w:start w:val="1"/>
      <w:numFmt w:val="lowerRoman"/>
      <w:lvlText w:val="%3."/>
      <w:lvlJc w:val="right"/>
      <w:pPr>
        <w:ind w:left="2869" w:hanging="180"/>
      </w:pPr>
    </w:lvl>
    <w:lvl w:ilvl="3" w:tplc="FB98A686">
      <w:start w:val="1"/>
      <w:numFmt w:val="decimal"/>
      <w:lvlText w:val="%4."/>
      <w:lvlJc w:val="left"/>
      <w:pPr>
        <w:ind w:left="3589" w:hanging="360"/>
      </w:pPr>
    </w:lvl>
    <w:lvl w:ilvl="4" w:tplc="FD322A14">
      <w:start w:val="1"/>
      <w:numFmt w:val="lowerLetter"/>
      <w:lvlText w:val="%5."/>
      <w:lvlJc w:val="left"/>
      <w:pPr>
        <w:ind w:left="4309" w:hanging="360"/>
      </w:pPr>
    </w:lvl>
    <w:lvl w:ilvl="5" w:tplc="88CEF082">
      <w:start w:val="1"/>
      <w:numFmt w:val="lowerRoman"/>
      <w:lvlText w:val="%6."/>
      <w:lvlJc w:val="right"/>
      <w:pPr>
        <w:ind w:left="5029" w:hanging="180"/>
      </w:pPr>
    </w:lvl>
    <w:lvl w:ilvl="6" w:tplc="350EECAC">
      <w:start w:val="1"/>
      <w:numFmt w:val="decimal"/>
      <w:lvlText w:val="%7."/>
      <w:lvlJc w:val="left"/>
      <w:pPr>
        <w:ind w:left="5749" w:hanging="360"/>
      </w:pPr>
    </w:lvl>
    <w:lvl w:ilvl="7" w:tplc="1B9CA358">
      <w:start w:val="1"/>
      <w:numFmt w:val="lowerLetter"/>
      <w:lvlText w:val="%8."/>
      <w:lvlJc w:val="left"/>
      <w:pPr>
        <w:ind w:left="6469" w:hanging="360"/>
      </w:pPr>
    </w:lvl>
    <w:lvl w:ilvl="8" w:tplc="18BEA18E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EC2E1F"/>
    <w:multiLevelType w:val="hybridMultilevel"/>
    <w:tmpl w:val="36E68B62"/>
    <w:lvl w:ilvl="0" w:tplc="C5E0D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946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7E4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A6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224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FA16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2E8B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502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C60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A0743"/>
    <w:multiLevelType w:val="hybridMultilevel"/>
    <w:tmpl w:val="7FD20A82"/>
    <w:lvl w:ilvl="0" w:tplc="62908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9F8FC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826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4B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48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BAC7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780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7AAE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71E9B"/>
    <w:multiLevelType w:val="hybridMultilevel"/>
    <w:tmpl w:val="CFCAED60"/>
    <w:lvl w:ilvl="0" w:tplc="3842C4E8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1A1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4B4C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3C26E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B689F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5EE7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6E4E3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CDA23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700FF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95D0B0F"/>
    <w:multiLevelType w:val="hybridMultilevel"/>
    <w:tmpl w:val="DEFACE74"/>
    <w:lvl w:ilvl="0" w:tplc="DDF485A4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D66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B25F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BDAE7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E0B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C1E0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1D5CB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2EE7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55BC63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CC94913"/>
    <w:multiLevelType w:val="hybridMultilevel"/>
    <w:tmpl w:val="32D225C2"/>
    <w:lvl w:ilvl="0" w:tplc="EF74C11A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E77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CF7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8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0C1E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0A2B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6C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8F1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41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A7A74"/>
    <w:multiLevelType w:val="hybridMultilevel"/>
    <w:tmpl w:val="26AE6410"/>
    <w:lvl w:ilvl="0" w:tplc="403CA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68C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2E14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4522A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7580F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BA2E14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EB6412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AF29D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11A7D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85A15A8"/>
    <w:multiLevelType w:val="hybridMultilevel"/>
    <w:tmpl w:val="1F5A15A4"/>
    <w:lvl w:ilvl="0" w:tplc="9F700F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FFE6A2E6">
      <w:start w:val="1"/>
      <w:numFmt w:val="lowerLetter"/>
      <w:lvlText w:val="%2."/>
      <w:lvlJc w:val="left"/>
      <w:pPr>
        <w:ind w:left="1789" w:hanging="360"/>
      </w:pPr>
    </w:lvl>
    <w:lvl w:ilvl="2" w:tplc="C09EF270">
      <w:start w:val="1"/>
      <w:numFmt w:val="lowerRoman"/>
      <w:lvlText w:val="%3."/>
      <w:lvlJc w:val="right"/>
      <w:pPr>
        <w:ind w:left="2509" w:hanging="180"/>
      </w:pPr>
    </w:lvl>
    <w:lvl w:ilvl="3" w:tplc="50C06754">
      <w:start w:val="1"/>
      <w:numFmt w:val="decimal"/>
      <w:lvlText w:val="%4."/>
      <w:lvlJc w:val="left"/>
      <w:pPr>
        <w:ind w:left="3229" w:hanging="360"/>
      </w:pPr>
    </w:lvl>
    <w:lvl w:ilvl="4" w:tplc="9668875A">
      <w:start w:val="1"/>
      <w:numFmt w:val="lowerLetter"/>
      <w:lvlText w:val="%5."/>
      <w:lvlJc w:val="left"/>
      <w:pPr>
        <w:ind w:left="3949" w:hanging="360"/>
      </w:pPr>
    </w:lvl>
    <w:lvl w:ilvl="5" w:tplc="25A818D0">
      <w:start w:val="1"/>
      <w:numFmt w:val="lowerRoman"/>
      <w:lvlText w:val="%6."/>
      <w:lvlJc w:val="right"/>
      <w:pPr>
        <w:ind w:left="4669" w:hanging="180"/>
      </w:pPr>
    </w:lvl>
    <w:lvl w:ilvl="6" w:tplc="6B10CBFC">
      <w:start w:val="1"/>
      <w:numFmt w:val="decimal"/>
      <w:lvlText w:val="%7."/>
      <w:lvlJc w:val="left"/>
      <w:pPr>
        <w:ind w:left="5389" w:hanging="360"/>
      </w:pPr>
    </w:lvl>
    <w:lvl w:ilvl="7" w:tplc="4058FED0">
      <w:start w:val="1"/>
      <w:numFmt w:val="lowerLetter"/>
      <w:lvlText w:val="%8."/>
      <w:lvlJc w:val="left"/>
      <w:pPr>
        <w:ind w:left="6109" w:hanging="360"/>
      </w:pPr>
    </w:lvl>
    <w:lvl w:ilvl="8" w:tplc="2874774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712F6F"/>
    <w:multiLevelType w:val="hybridMultilevel"/>
    <w:tmpl w:val="E2D6EE4A"/>
    <w:lvl w:ilvl="0" w:tplc="1064515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0A3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BA81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5C12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1F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2A6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AA8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84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3C1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EC5834"/>
    <w:multiLevelType w:val="hybridMultilevel"/>
    <w:tmpl w:val="2AAC5B42"/>
    <w:lvl w:ilvl="0" w:tplc="7FA0BDB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85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841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8BD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0B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BE8B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8C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48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031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7"/>
  </w:num>
  <w:num w:numId="3">
    <w:abstractNumId w:val="0"/>
  </w:num>
  <w:num w:numId="4">
    <w:abstractNumId w:val="6"/>
  </w:num>
  <w:num w:numId="5">
    <w:abstractNumId w:val="5"/>
  </w:num>
  <w:num w:numId="6">
    <w:abstractNumId w:val="18"/>
  </w:num>
  <w:num w:numId="7">
    <w:abstractNumId w:val="2"/>
  </w:num>
  <w:num w:numId="8">
    <w:abstractNumId w:val="14"/>
  </w:num>
  <w:num w:numId="9">
    <w:abstractNumId w:val="13"/>
  </w:num>
  <w:num w:numId="10">
    <w:abstractNumId w:val="12"/>
  </w:num>
  <w:num w:numId="11">
    <w:abstractNumId w:val="1"/>
  </w:num>
  <w:num w:numId="12">
    <w:abstractNumId w:val="11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6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57"/>
    <w:rsid w:val="002F28D3"/>
    <w:rsid w:val="00411E9A"/>
    <w:rsid w:val="00731EDC"/>
    <w:rsid w:val="007C1B57"/>
    <w:rsid w:val="008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EFE7"/>
  <w15:docId w15:val="{25570DFE-70B3-4F62-B6BF-83ABA650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02&amp;date=26.03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CB9D-CC62-42CC-9A60-8733E70A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3</cp:revision>
  <dcterms:created xsi:type="dcterms:W3CDTF">2026-04-14T12:03:00Z</dcterms:created>
  <dcterms:modified xsi:type="dcterms:W3CDTF">2026-04-16T14:10:00Z</dcterms:modified>
</cp:coreProperties>
</file>