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2EEE" w14:textId="77777777" w:rsidR="00586719" w:rsidRPr="00DE4E88" w:rsidRDefault="00281EB2" w:rsidP="00DE4E88">
      <w:pPr>
        <w:pStyle w:val="Firstlineindent"/>
        <w:ind w:firstLine="0"/>
        <w:jc w:val="center"/>
        <w:rPr>
          <w:rFonts w:ascii="Times New Roman" w:hAnsi="Times New Roman" w:cs="Times New Roman"/>
          <w:b/>
          <w:bCs/>
          <w:sz w:val="28"/>
          <w:szCs w:val="28"/>
        </w:rPr>
      </w:pPr>
      <w:r w:rsidRPr="00DE4E88">
        <w:rPr>
          <w:rFonts w:ascii="Times New Roman" w:hAnsi="Times New Roman" w:cs="Times New Roman"/>
          <w:b/>
          <w:bCs/>
          <w:sz w:val="28"/>
          <w:szCs w:val="28"/>
        </w:rPr>
        <w:t>ПОЯСНИТЕЛЬНАЯ ЗАПИСКА</w:t>
      </w:r>
    </w:p>
    <w:p w14:paraId="2EB20F11" w14:textId="77777777" w:rsidR="00586719" w:rsidRPr="00DE4E88" w:rsidRDefault="00281EB2" w:rsidP="00DE4E88">
      <w:pPr>
        <w:pStyle w:val="Firstlineindent"/>
        <w:ind w:firstLine="0"/>
        <w:jc w:val="center"/>
        <w:rPr>
          <w:rFonts w:ascii="Times New Roman" w:hAnsi="Times New Roman" w:cs="Times New Roman"/>
          <w:b/>
          <w:bCs/>
          <w:sz w:val="28"/>
          <w:szCs w:val="28"/>
        </w:rPr>
      </w:pPr>
      <w:r w:rsidRPr="00DE4E88">
        <w:rPr>
          <w:rFonts w:ascii="Times New Roman" w:hAnsi="Times New Roman" w:cs="Times New Roman"/>
          <w:b/>
          <w:bCs/>
          <w:sz w:val="28"/>
          <w:szCs w:val="28"/>
        </w:rPr>
        <w:t>к проекту указа Президента Российской Федерации «О внесении изменений</w:t>
      </w:r>
      <w:r w:rsidRPr="00DE4E88">
        <w:rPr>
          <w:rFonts w:ascii="Times New Roman" w:hAnsi="Times New Roman" w:cs="Times New Roman"/>
          <w:b/>
          <w:bCs/>
          <w:sz w:val="28"/>
          <w:szCs w:val="28"/>
        </w:rPr>
        <w:br/>
      </w:r>
      <w:r w:rsidRPr="00DE4E88">
        <w:rPr>
          <w:rFonts w:ascii="Times New Roman" w:hAnsi="Times New Roman" w:cs="Times New Roman"/>
          <w:b/>
          <w:bCs/>
          <w:sz w:val="28"/>
          <w:szCs w:val="28"/>
        </w:rPr>
        <w:t>в Указ Президента Российской Федерации от 1 мая 2022 г. № 250</w:t>
      </w:r>
      <w:r w:rsidRPr="00DE4E88">
        <w:rPr>
          <w:rFonts w:ascii="Times New Roman" w:hAnsi="Times New Roman" w:cs="Times New Roman"/>
          <w:b/>
          <w:bCs/>
          <w:sz w:val="28"/>
          <w:szCs w:val="28"/>
        </w:rPr>
        <w:br/>
      </w:r>
      <w:r w:rsidRPr="00DE4E88">
        <w:rPr>
          <w:rFonts w:ascii="Times New Roman" w:hAnsi="Times New Roman" w:cs="Times New Roman"/>
          <w:b/>
          <w:bCs/>
          <w:sz w:val="28"/>
          <w:szCs w:val="28"/>
        </w:rPr>
        <w:t xml:space="preserve">«О дополнительных мерах по обеспечению информационной безопасности </w:t>
      </w:r>
      <w:r w:rsidRPr="00DE4E88">
        <w:rPr>
          <w:rFonts w:ascii="Times New Roman" w:hAnsi="Times New Roman" w:cs="Times New Roman"/>
          <w:b/>
          <w:bCs/>
          <w:sz w:val="28"/>
          <w:szCs w:val="28"/>
        </w:rPr>
        <w:t>Российской Федерации»</w:t>
      </w:r>
    </w:p>
    <w:p w14:paraId="7FF8D843" w14:textId="77777777" w:rsidR="00586719" w:rsidRPr="00DE4E88" w:rsidRDefault="00586719" w:rsidP="00DE4E88">
      <w:pPr>
        <w:pStyle w:val="Firstlineindent"/>
        <w:jc w:val="center"/>
        <w:rPr>
          <w:rFonts w:ascii="Times New Roman" w:hAnsi="Times New Roman" w:cs="Times New Roman"/>
          <w:b/>
          <w:bCs/>
          <w:sz w:val="28"/>
          <w:szCs w:val="28"/>
        </w:rPr>
      </w:pPr>
    </w:p>
    <w:p w14:paraId="088D816C" w14:textId="5104D604"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Проект указа Президента Российской Федерации «О внесении изменений</w:t>
      </w:r>
      <w:r w:rsidR="00395F7D" w:rsidRPr="00DE4E88">
        <w:rPr>
          <w:rFonts w:ascii="Times New Roman" w:hAnsi="Times New Roman" w:cs="Times New Roman"/>
          <w:sz w:val="28"/>
          <w:szCs w:val="28"/>
        </w:rPr>
        <w:t xml:space="preserve"> </w:t>
      </w:r>
      <w:r w:rsidRPr="00DE4E88">
        <w:rPr>
          <w:rFonts w:ascii="Times New Roman" w:hAnsi="Times New Roman" w:cs="Times New Roman"/>
          <w:sz w:val="28"/>
          <w:szCs w:val="28"/>
        </w:rPr>
        <w:t>в Указ Президента Российской Федерации от 1 мая 2022 г. № 250</w:t>
      </w:r>
      <w:r w:rsidRPr="00DE4E88">
        <w:rPr>
          <w:rFonts w:ascii="Times New Roman" w:hAnsi="Times New Roman" w:cs="Times New Roman"/>
          <w:sz w:val="28"/>
          <w:szCs w:val="28"/>
        </w:rPr>
        <w:br/>
      </w:r>
      <w:r w:rsidRPr="00DE4E88">
        <w:rPr>
          <w:rFonts w:ascii="Times New Roman" w:hAnsi="Times New Roman" w:cs="Times New Roman"/>
          <w:sz w:val="28"/>
          <w:szCs w:val="28"/>
        </w:rPr>
        <w:t>«О дополнительных мерах по обеспечению информационной безопасности Российской Федерации» (далее — проект указа) подготовлен в соответствии</w:t>
      </w:r>
      <w:r w:rsidRPr="00DE4E88">
        <w:rPr>
          <w:rFonts w:ascii="Times New Roman" w:hAnsi="Times New Roman" w:cs="Times New Roman"/>
          <w:sz w:val="28"/>
          <w:szCs w:val="28"/>
        </w:rPr>
        <w:br/>
      </w:r>
      <w:r w:rsidRPr="00DE4E88">
        <w:rPr>
          <w:rFonts w:ascii="Times New Roman" w:hAnsi="Times New Roman" w:cs="Times New Roman"/>
          <w:sz w:val="28"/>
          <w:szCs w:val="28"/>
        </w:rPr>
        <w:t>с указанием Президента Российской Федерации от 27 марта 2026 г. № Пр-661.</w:t>
      </w:r>
    </w:p>
    <w:p w14:paraId="37AAC21C" w14:textId="77777777" w:rsidR="00586719" w:rsidRPr="00DE4E88" w:rsidRDefault="00281EB2" w:rsidP="00DE4E88">
      <w:pPr>
        <w:pStyle w:val="Standard"/>
        <w:shd w:val="clear" w:color="auto" w:fill="FFFFFF"/>
        <w:ind w:firstLine="709"/>
        <w:jc w:val="both"/>
        <w:rPr>
          <w:rFonts w:ascii="Times New Roman" w:hAnsi="Times New Roman" w:cs="Times New Roman"/>
        </w:rPr>
      </w:pPr>
      <w:r w:rsidRPr="00DE4E88">
        <w:rPr>
          <w:rStyle w:val="14"/>
          <w:rFonts w:eastAsia="PT Astra Serif"/>
          <w:szCs w:val="28"/>
        </w:rPr>
        <w:t>Указом Президента Российской Федерации от 31 декабря 2015 г. № 684</w:t>
      </w:r>
      <w:r w:rsidRPr="00DE4E88">
        <w:rPr>
          <w:rStyle w:val="14"/>
          <w:rFonts w:eastAsia="PT Astra Serif"/>
          <w:szCs w:val="28"/>
        </w:rPr>
        <w:br/>
      </w:r>
      <w:r w:rsidRPr="00DE4E88">
        <w:rPr>
          <w:rStyle w:val="14"/>
          <w:rFonts w:eastAsia="PT Astra Serif"/>
          <w:szCs w:val="28"/>
        </w:rPr>
        <w:t>«Об оценке и государственном мониторинге состояния национальной безопасности Российской Федерации» утверждены показатели состояния национальной безопасности. Ответственные за предоставление сведений по показателю, характеризующему уровень обеспечения безопасности критической информационной инфраструктуры Российской Федерации, определены</w:t>
      </w:r>
      <w:r w:rsidRPr="00DE4E88">
        <w:rPr>
          <w:rStyle w:val="14"/>
          <w:rFonts w:eastAsia="PT Astra Serif"/>
          <w:szCs w:val="28"/>
        </w:rPr>
        <w:br/>
      </w:r>
      <w:r w:rsidRPr="00DE4E88">
        <w:rPr>
          <w:rStyle w:val="14"/>
          <w:rFonts w:eastAsia="PT Astra Serif"/>
          <w:szCs w:val="28"/>
        </w:rPr>
        <w:t>ФСБ России и ФСТЭК России в пределах полномочий.</w:t>
      </w:r>
    </w:p>
    <w:p w14:paraId="2CE576A7"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Вместе с этим согласно Федеральному закону от 27 июля 2006 г. № 149-ФЗ «Об информации, информационных технологиях и о защите информации» обязанность по защите информации, обрабатываемой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возлагается на операторов указанных информационных систем. Федеральный закон от 26 июля 2017 г. № 187-ФЗ «О безопасности критической информационной инфраструктуры</w:t>
      </w:r>
      <w:r w:rsidRPr="00DE4E88">
        <w:rPr>
          <w:rFonts w:ascii="Times New Roman" w:hAnsi="Times New Roman" w:cs="Times New Roman"/>
          <w:sz w:val="28"/>
          <w:szCs w:val="28"/>
        </w:rPr>
        <w:t xml:space="preserve"> Российской Федерации» (далее — Федеральный закон № 187-ФЗ) устанавливает обязанность субъектов критической информационной инфраструктуры по обеспечению безопасности принадлежащих им значимых объектов критической информационной инфраструктуры.</w:t>
      </w:r>
    </w:p>
    <w:p w14:paraId="7A05AD45"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Таким образом, актуальной является проблема оценки состояния обеспечения безопасности объектов информационной инфраструктуры в государственных органах, организациях, в том числе субъектах критической информационной инфраструктуры, функционирующих в отраслях (сферах деятельности), определенных Федеральным законом № 187-ФЗ.</w:t>
      </w:r>
    </w:p>
    <w:p w14:paraId="46D530A5"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В целях обеспечения и защиты национальных интересов</w:t>
      </w:r>
      <w:r w:rsidRPr="00DE4E88">
        <w:rPr>
          <w:rFonts w:ascii="Times New Roman" w:hAnsi="Times New Roman" w:cs="Times New Roman"/>
          <w:sz w:val="28"/>
          <w:szCs w:val="28"/>
        </w:rPr>
        <w:br/>
      </w:r>
      <w:r w:rsidRPr="00DE4E88">
        <w:rPr>
          <w:rFonts w:ascii="Times New Roman" w:hAnsi="Times New Roman" w:cs="Times New Roman"/>
          <w:sz w:val="28"/>
          <w:szCs w:val="28"/>
        </w:rPr>
        <w:t>Российской Федерации в рамках реализации стратегических национальных приоритетов по информационной безопасности разработан проект указа Президента Российской Федерации, определяющий следующие показатели, характеризующие уровень защищенности принадлежащих федеральным органам исполнительной власти, высшим исполнительным органам государственной власти субъектов Российской Федерации государственных информационных систем</w:t>
      </w:r>
      <w:r w:rsidRPr="00DE4E88">
        <w:rPr>
          <w:rFonts w:ascii="Times New Roman" w:hAnsi="Times New Roman" w:cs="Times New Roman"/>
          <w:sz w:val="28"/>
          <w:szCs w:val="28"/>
        </w:rPr>
        <w:br/>
      </w:r>
      <w:r w:rsidRPr="00DE4E88">
        <w:rPr>
          <w:rFonts w:ascii="Times New Roman" w:hAnsi="Times New Roman" w:cs="Times New Roman"/>
          <w:sz w:val="28"/>
          <w:szCs w:val="28"/>
        </w:rPr>
        <w:t xml:space="preserve">и иных информационных систем, а также принадлежащих государственным фондам, государственным корпорациям (компаниям) и иным организациям, созданным на основании федеральных законов, стратегическим предприятиям, стратегическим акционерным обществам и системообразующим организациям российской экономики, юридическим лиц, являющимся субъектами критической информационной инфраструктуры Российской Федерации (далее — органы (организации), значимых объектов критической информационной инфраструктуры </w:t>
      </w:r>
      <w:r w:rsidRPr="00DE4E88">
        <w:rPr>
          <w:rFonts w:ascii="Times New Roman" w:hAnsi="Times New Roman" w:cs="Times New Roman"/>
          <w:sz w:val="28"/>
          <w:szCs w:val="28"/>
        </w:rPr>
        <w:lastRenderedPageBreak/>
        <w:t>Российской Федера</w:t>
      </w:r>
      <w:r w:rsidRPr="00DE4E88">
        <w:rPr>
          <w:rFonts w:ascii="Times New Roman" w:hAnsi="Times New Roman" w:cs="Times New Roman"/>
          <w:sz w:val="28"/>
          <w:szCs w:val="28"/>
        </w:rPr>
        <w:t>ции и их целевые значения:</w:t>
      </w:r>
    </w:p>
    <w:p w14:paraId="7BB7F817"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1. Обеспечена защищенность объектов информационной инфраструктуры</w:t>
      </w:r>
      <w:r w:rsidRPr="00DE4E88">
        <w:rPr>
          <w:rFonts w:ascii="Times New Roman" w:hAnsi="Times New Roman" w:cs="Times New Roman"/>
          <w:sz w:val="28"/>
          <w:szCs w:val="28"/>
        </w:rPr>
        <w:br/>
      </w:r>
      <w:r w:rsidRPr="00DE4E88">
        <w:rPr>
          <w:rFonts w:ascii="Times New Roman" w:hAnsi="Times New Roman" w:cs="Times New Roman"/>
          <w:sz w:val="28"/>
          <w:szCs w:val="28"/>
        </w:rPr>
        <w:t>в органе (организации) от актуальных угроз в информационной сфере (показатель «Уровень текущего состояния защищенности объектов информационной инфраструктуры в органе (организации)»).</w:t>
      </w:r>
    </w:p>
    <w:p w14:paraId="5BB57580"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2. На не менее 80 % объектов информационной инфраструктуры, функционирующих в отрасли (сфере деятельности), определенной Федеральным законом от 26 июля 2017 г. № 187-ФЗ «О безопасности критической информационной инфраструктуры Российской Федерации», обеспечена защищенность от актуальных угроз в информационной сфере (показатель «Уровень защищенности объектов информационной инфраструктуры в каждой отрасли</w:t>
      </w:r>
      <w:r w:rsidRPr="00DE4E88">
        <w:rPr>
          <w:rFonts w:ascii="Times New Roman" w:hAnsi="Times New Roman" w:cs="Times New Roman"/>
          <w:sz w:val="28"/>
          <w:szCs w:val="28"/>
        </w:rPr>
        <w:br/>
      </w:r>
      <w:r w:rsidRPr="00DE4E88">
        <w:rPr>
          <w:rFonts w:ascii="Times New Roman" w:hAnsi="Times New Roman" w:cs="Times New Roman"/>
          <w:sz w:val="28"/>
          <w:szCs w:val="28"/>
        </w:rPr>
        <w:t>(сфере деятельности), определенных Федеральным законом от 26 июля 2017 г.</w:t>
      </w:r>
      <w:r w:rsidRPr="00DE4E88">
        <w:rPr>
          <w:rFonts w:ascii="Times New Roman" w:hAnsi="Times New Roman" w:cs="Times New Roman"/>
          <w:sz w:val="28"/>
          <w:szCs w:val="28"/>
        </w:rPr>
        <w:br/>
      </w:r>
      <w:r w:rsidRPr="00DE4E88">
        <w:rPr>
          <w:rFonts w:ascii="Times New Roman" w:hAnsi="Times New Roman" w:cs="Times New Roman"/>
          <w:sz w:val="28"/>
          <w:szCs w:val="28"/>
        </w:rPr>
        <w:t>№ 187-ФЗ «О безопасности критической информационной инфраструктуры Российской Федерации»).</w:t>
      </w:r>
    </w:p>
    <w:p w14:paraId="5B69A61C"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3. На не менее 80 % объектов информационной инфраструктуры, находящихся в ведении органов исполнительной власти субъектов Российской Федерации, обеспечена защищенность от актуальных угроз в информационной сфере (показатель «уровень защищенности объектов информационной инфраструктуры</w:t>
      </w:r>
      <w:r w:rsidRPr="00DE4E88">
        <w:rPr>
          <w:rFonts w:ascii="Times New Roman" w:hAnsi="Times New Roman" w:cs="Times New Roman"/>
          <w:sz w:val="28"/>
          <w:szCs w:val="28"/>
        </w:rPr>
        <w:br/>
      </w:r>
      <w:r w:rsidRPr="00DE4E88">
        <w:rPr>
          <w:rFonts w:ascii="Times New Roman" w:hAnsi="Times New Roman" w:cs="Times New Roman"/>
          <w:sz w:val="28"/>
          <w:szCs w:val="28"/>
        </w:rPr>
        <w:t>в субъекте Российской Федерации»).</w:t>
      </w:r>
    </w:p>
    <w:p w14:paraId="7F166E9D"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Выполнение указанных показателей и достижение их целевых значений базируется на выполнении требований по защите информации, обеспечению безопасности персональных данных, обеспечению безопасности объектов критической информационной инфраструктуры, установленных в соответствии</w:t>
      </w:r>
      <w:r w:rsidRPr="00DE4E88">
        <w:rPr>
          <w:rFonts w:ascii="Times New Roman" w:hAnsi="Times New Roman" w:cs="Times New Roman"/>
          <w:sz w:val="28"/>
          <w:szCs w:val="28"/>
        </w:rPr>
        <w:br/>
      </w:r>
      <w:r w:rsidRPr="00DE4E88">
        <w:rPr>
          <w:rFonts w:ascii="Times New Roman" w:hAnsi="Times New Roman" w:cs="Times New Roman"/>
          <w:sz w:val="28"/>
          <w:szCs w:val="28"/>
        </w:rPr>
        <w:t>с Федеральным законом от 27 июля 2006 г. № 149-ФЗ «Об информации, информационных технологиях и о защите информации», Федеральным законом</w:t>
      </w:r>
      <w:r w:rsidRPr="00DE4E88">
        <w:rPr>
          <w:rFonts w:ascii="Times New Roman" w:hAnsi="Times New Roman" w:cs="Times New Roman"/>
          <w:sz w:val="28"/>
          <w:szCs w:val="28"/>
        </w:rPr>
        <w:br/>
      </w:r>
      <w:r w:rsidRPr="00DE4E88">
        <w:rPr>
          <w:rFonts w:ascii="Times New Roman" w:hAnsi="Times New Roman" w:cs="Times New Roman"/>
          <w:sz w:val="28"/>
          <w:szCs w:val="28"/>
        </w:rPr>
        <w:t>от 27 июля 2006 г. № 152-ФЗ «О персональных данных», а также Федеральным законом от 26 июля 2017 г. № 187-ФЗ «О безопасности критической информационной инфраструктуры Российской Федерации».</w:t>
      </w:r>
    </w:p>
    <w:p w14:paraId="1A9E7333"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Целевые значения показателей определены исходя из результатов контроля деятельности в области технической защиты информации, содержащейся</w:t>
      </w:r>
      <w:r w:rsidRPr="00DE4E88">
        <w:rPr>
          <w:rFonts w:ascii="Times New Roman" w:hAnsi="Times New Roman" w:cs="Times New Roman"/>
          <w:sz w:val="28"/>
          <w:szCs w:val="28"/>
        </w:rPr>
        <w:br/>
      </w:r>
      <w:r w:rsidRPr="00DE4E88">
        <w:rPr>
          <w:rFonts w:ascii="Times New Roman" w:hAnsi="Times New Roman" w:cs="Times New Roman"/>
          <w:sz w:val="28"/>
          <w:szCs w:val="28"/>
        </w:rPr>
        <w:t>в государственных информационных системах, государственного контроля</w:t>
      </w:r>
      <w:r w:rsidRPr="00DE4E88">
        <w:rPr>
          <w:rFonts w:ascii="Times New Roman" w:hAnsi="Times New Roman" w:cs="Times New Roman"/>
          <w:sz w:val="28"/>
          <w:szCs w:val="28"/>
        </w:rPr>
        <w:br/>
      </w:r>
      <w:r w:rsidRPr="00DE4E88">
        <w:rPr>
          <w:rFonts w:ascii="Times New Roman" w:hAnsi="Times New Roman" w:cs="Times New Roman"/>
          <w:sz w:val="28"/>
          <w:szCs w:val="28"/>
        </w:rPr>
        <w:t>по обеспечению безопасности значимых объектов критической информационной инфраструктуры, а также результатов мониторинга текущего состояния технической защиты информации и обеспечения безопасности значимых объектов критической информационной инфраструктуры.</w:t>
      </w:r>
    </w:p>
    <w:p w14:paraId="4BB6303C"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По результатам проведения указанных мероприятий установлено, что</w:t>
      </w:r>
      <w:r w:rsidRPr="00DE4E88">
        <w:rPr>
          <w:rFonts w:ascii="Times New Roman" w:hAnsi="Times New Roman" w:cs="Times New Roman"/>
          <w:sz w:val="28"/>
          <w:szCs w:val="28"/>
        </w:rPr>
        <w:br/>
      </w:r>
      <w:r w:rsidRPr="00DE4E88">
        <w:rPr>
          <w:rFonts w:ascii="Times New Roman" w:hAnsi="Times New Roman" w:cs="Times New Roman"/>
          <w:sz w:val="28"/>
          <w:szCs w:val="28"/>
        </w:rPr>
        <w:t>в 60 % информационных систем, объектов критической информационной инфраструктуры система защиты информации (обеспечения безопасности) не в полной мере обеспечивает защиту от типовых угроз безопасности информации.</w:t>
      </w:r>
      <w:r w:rsidRPr="00DE4E88">
        <w:rPr>
          <w:rFonts w:ascii="Times New Roman" w:hAnsi="Times New Roman" w:cs="Times New Roman"/>
          <w:sz w:val="28"/>
          <w:szCs w:val="28"/>
        </w:rPr>
        <w:br/>
      </w:r>
      <w:r w:rsidRPr="00DE4E88">
        <w:rPr>
          <w:rFonts w:ascii="Times New Roman" w:hAnsi="Times New Roman" w:cs="Times New Roman"/>
          <w:sz w:val="28"/>
          <w:szCs w:val="28"/>
        </w:rPr>
        <w:t>В 20 % проверенных объектов защита от типовых угроз безопасности обеспечивается, имеются отдельные недостатки, не создающие предпосылок для реализации угроз безопасности информации.</w:t>
      </w:r>
    </w:p>
    <w:p w14:paraId="27655D4B" w14:textId="77777777" w:rsidR="00586719" w:rsidRPr="00DE4E88" w:rsidRDefault="00281EB2" w:rsidP="00DE4E88">
      <w:pPr>
        <w:pStyle w:val="Firstlineindent"/>
        <w:rPr>
          <w:rFonts w:ascii="Times New Roman" w:hAnsi="Times New Roman" w:cs="Times New Roman"/>
        </w:rPr>
      </w:pPr>
      <w:r w:rsidRPr="00DE4E88">
        <w:rPr>
          <w:rFonts w:ascii="Times New Roman" w:hAnsi="Times New Roman" w:cs="Times New Roman"/>
          <w:sz w:val="28"/>
          <w:szCs w:val="28"/>
        </w:rPr>
        <w:t xml:space="preserve">В целях оценки уровня защищенности объектов информационной инфраструктуры в государственных органах, организациях, в том числе субъектах критической информационной инфраструктуры проектом указа устанавливается </w:t>
      </w:r>
      <w:r w:rsidRPr="00DE4E88">
        <w:rPr>
          <w:rFonts w:ascii="Times New Roman" w:hAnsi="Times New Roman" w:cs="Times New Roman"/>
          <w:sz w:val="28"/>
          <w:szCs w:val="28"/>
        </w:rPr>
        <w:lastRenderedPageBreak/>
        <w:t xml:space="preserve">необходимость принятия </w:t>
      </w:r>
      <w:r w:rsidRPr="00DE4E88">
        <w:rPr>
          <w:rFonts w:ascii="Times New Roman" w:eastAsia="Calibri" w:hAnsi="Times New Roman" w:cs="Times New Roman"/>
          <w:kern w:val="0"/>
          <w:sz w:val="28"/>
          <w:szCs w:val="28"/>
          <w:lang w:eastAsia="en-US"/>
        </w:rPr>
        <w:t>руководителями федеральных органов исполнительной власти, высших исполнительных органов государственной власти субъектов Российской Федерации, государственных фондов, государственных корпораций (компаний) и иных организаций, созданных на основании федеральных законов, стратегических предприятий, стратегических акционерных обществ</w:t>
      </w:r>
      <w:r w:rsidRPr="00DE4E88">
        <w:rPr>
          <w:rFonts w:ascii="Times New Roman" w:eastAsia="Calibri" w:hAnsi="Times New Roman" w:cs="Times New Roman"/>
          <w:kern w:val="0"/>
          <w:sz w:val="28"/>
          <w:szCs w:val="28"/>
          <w:lang w:eastAsia="en-US"/>
        </w:rPr>
        <w:br/>
      </w:r>
      <w:r w:rsidRPr="00DE4E88">
        <w:rPr>
          <w:rFonts w:ascii="Times New Roman" w:eastAsia="Calibri" w:hAnsi="Times New Roman" w:cs="Times New Roman"/>
          <w:kern w:val="0"/>
          <w:sz w:val="28"/>
          <w:szCs w:val="28"/>
          <w:lang w:eastAsia="en-US"/>
        </w:rPr>
        <w:t>и системообразующих организаций российской экономики, юридических лиц, являющихся субъектами критической информационной инфраструктуры Российской Федерации,</w:t>
      </w:r>
      <w:r w:rsidRPr="00DE4E88">
        <w:rPr>
          <w:rFonts w:ascii="Times New Roman" w:hAnsi="Times New Roman" w:cs="Times New Roman"/>
          <w:sz w:val="28"/>
          <w:szCs w:val="28"/>
        </w:rPr>
        <w:t xml:space="preserve"> мер по достижению целевых значений показателей, характеризующих уровень защищенности принадлежащих им государственных информационных систем, иных информационных систем, а также значимых объектов критической информационной инфраструктуры Российской Федерации.</w:t>
      </w:r>
    </w:p>
    <w:p w14:paraId="76B8C482"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Порядок расчета показателей обеспечения безопасности объектов информационной инфраструктуры Российской Федерации и их целевые значения</w:t>
      </w:r>
      <w:r w:rsidRPr="00DE4E88">
        <w:rPr>
          <w:rFonts w:ascii="Times New Roman" w:hAnsi="Times New Roman" w:cs="Times New Roman"/>
          <w:sz w:val="28"/>
          <w:szCs w:val="28"/>
        </w:rPr>
        <w:br/>
      </w:r>
      <w:r w:rsidRPr="00DE4E88">
        <w:rPr>
          <w:rFonts w:ascii="Times New Roman" w:hAnsi="Times New Roman" w:cs="Times New Roman"/>
          <w:sz w:val="28"/>
          <w:szCs w:val="28"/>
        </w:rPr>
        <w:t>в соответствии с проектом указа планируется определить Правительству Российской Федерации по согласованию с ФСТЭК России и ФСБ России.</w:t>
      </w:r>
    </w:p>
    <w:p w14:paraId="2957AD42"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Проект указа соответствует положениям Договора о Евразийском экономическом союзе и требованиям иных международных договоров Российской Федерации, а его реализация не повлияет на достижение целей государственных программ Российской Федерации.</w:t>
      </w:r>
    </w:p>
    <w:p w14:paraId="239E8489"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В проекте указа отсутствуют обязательные требования,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а также обязательные требования соответствие которым проверяется при выдаче разрешений, лицензий, аттестатов аккредитации, иных документов, имеющих разрешительный характер, о соответствующем виде государственного контроля (надзора), виде разрешительной деятельности</w:t>
      </w:r>
      <w:r w:rsidRPr="00DE4E88">
        <w:rPr>
          <w:rFonts w:ascii="Times New Roman" w:hAnsi="Times New Roman" w:cs="Times New Roman"/>
          <w:sz w:val="28"/>
          <w:szCs w:val="28"/>
        </w:rPr>
        <w:br/>
      </w:r>
      <w:r w:rsidRPr="00DE4E88">
        <w:rPr>
          <w:rFonts w:ascii="Times New Roman" w:hAnsi="Times New Roman" w:cs="Times New Roman"/>
          <w:sz w:val="28"/>
          <w:szCs w:val="28"/>
        </w:rPr>
        <w:t>и предполагаемой ответственности за нарушение обязательных требований или последствий их несоблюдения.</w:t>
      </w:r>
    </w:p>
    <w:p w14:paraId="134F4128" w14:textId="77777777" w:rsidR="00586719" w:rsidRPr="00DE4E88" w:rsidRDefault="00281EB2" w:rsidP="00DE4E88">
      <w:pPr>
        <w:pStyle w:val="Firstlineindent"/>
        <w:rPr>
          <w:rFonts w:ascii="Times New Roman" w:hAnsi="Times New Roman" w:cs="Times New Roman"/>
          <w:sz w:val="28"/>
          <w:szCs w:val="28"/>
        </w:rPr>
      </w:pPr>
      <w:r w:rsidRPr="00DE4E88">
        <w:rPr>
          <w:rFonts w:ascii="Times New Roman" w:hAnsi="Times New Roman" w:cs="Times New Roman"/>
          <w:sz w:val="28"/>
          <w:szCs w:val="28"/>
        </w:rPr>
        <w:t>Для реализации указа Президента Российской Федерации не потребуется дополнительных бюджетных ассигнований из федерального бюджета.</w:t>
      </w:r>
    </w:p>
    <w:p w14:paraId="628356A6" w14:textId="77777777" w:rsidR="00586719" w:rsidRPr="00DE4E88" w:rsidRDefault="00281EB2" w:rsidP="00DE4E88">
      <w:pPr>
        <w:pStyle w:val="Firstlineindent"/>
        <w:jc w:val="center"/>
        <w:rPr>
          <w:rFonts w:ascii="Times New Roman" w:hAnsi="Times New Roman" w:cs="Times New Roman"/>
          <w:sz w:val="28"/>
          <w:szCs w:val="28"/>
        </w:rPr>
      </w:pPr>
      <w:r w:rsidRPr="00DE4E88">
        <w:rPr>
          <w:rFonts w:ascii="Times New Roman" w:hAnsi="Times New Roman" w:cs="Times New Roman"/>
          <w:sz w:val="28"/>
          <w:szCs w:val="28"/>
        </w:rPr>
        <w:t>_________________</w:t>
      </w:r>
    </w:p>
    <w:p w14:paraId="63A00435" w14:textId="77777777" w:rsidR="00586719" w:rsidRPr="00DE4E88" w:rsidRDefault="00586719" w:rsidP="00DE4E88">
      <w:pPr>
        <w:pStyle w:val="Firstlineindent"/>
        <w:rPr>
          <w:rFonts w:ascii="Times New Roman" w:hAnsi="Times New Roman" w:cs="Times New Roman"/>
          <w:sz w:val="28"/>
          <w:szCs w:val="28"/>
        </w:rPr>
      </w:pPr>
    </w:p>
    <w:sectPr w:rsidR="00586719" w:rsidRPr="00DE4E88">
      <w:headerReference w:type="default" r:id="rId7"/>
      <w:footerReference w:type="default" r:id="rId8"/>
      <w:pgSz w:w="11906" w:h="16838"/>
      <w:pgMar w:top="680" w:right="567" w:bottom="680"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44F3" w14:textId="77777777" w:rsidR="00281EB2" w:rsidRDefault="00281EB2">
      <w:r>
        <w:separator/>
      </w:r>
    </w:p>
  </w:endnote>
  <w:endnote w:type="continuationSeparator" w:id="0">
    <w:p w14:paraId="00A1DB87" w14:textId="77777777" w:rsidR="00281EB2" w:rsidRDefault="0028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PT Astra Serif">
    <w:altName w:val="Arial"/>
    <w:charset w:val="00"/>
    <w:family w:val="roman"/>
    <w:pitch w:val="variable"/>
  </w:font>
  <w:font w:name="Liberation Serif">
    <w:altName w:val="Times New Roman"/>
    <w:charset w:val="00"/>
    <w:family w:val="roman"/>
    <w:pitch w:val="variable"/>
  </w:font>
  <w:font w:name="Source Han Sans CN Regular">
    <w:charset w:val="00"/>
    <w:family w:val="auto"/>
    <w:pitch w:val="variable"/>
  </w:font>
  <w:font w:name="Lohit Devanagari">
    <w:charset w:val="00"/>
    <w:family w:val="auto"/>
    <w:pitch w:val="variable"/>
  </w:font>
  <w:font w:name="Liberation Mono">
    <w:charset w:val="00"/>
    <w:family w:val="modern"/>
    <w:pitch w:val="fixed"/>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4EE7" w14:textId="77777777" w:rsidR="00281EB2" w:rsidRDefault="00281E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879B" w14:textId="77777777" w:rsidR="00281EB2" w:rsidRDefault="00281EB2">
      <w:r>
        <w:rPr>
          <w:color w:val="000000"/>
        </w:rPr>
        <w:separator/>
      </w:r>
    </w:p>
  </w:footnote>
  <w:footnote w:type="continuationSeparator" w:id="0">
    <w:p w14:paraId="2B0E7399" w14:textId="77777777" w:rsidR="00281EB2" w:rsidRDefault="0028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2B01" w14:textId="77777777" w:rsidR="00281EB2" w:rsidRDefault="00281EB2">
    <w:pPr>
      <w:pStyle w:val="ab"/>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04BB"/>
    <w:multiLevelType w:val="multilevel"/>
    <w:tmpl w:val="6D389DE6"/>
    <w:styleLink w:val="List2"/>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 w15:restartNumberingAfterBreak="0">
    <w:nsid w:val="17891880"/>
    <w:multiLevelType w:val="multilevel"/>
    <w:tmpl w:val="208609B2"/>
    <w:styleLink w:val="a"/>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abstractNum w:abstractNumId="2" w15:restartNumberingAfterBreak="0">
    <w:nsid w:val="1A462160"/>
    <w:multiLevelType w:val="multilevel"/>
    <w:tmpl w:val="0D68A384"/>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3" w15:restartNumberingAfterBreak="0">
    <w:nsid w:val="1CC15E6E"/>
    <w:multiLevelType w:val="multilevel"/>
    <w:tmpl w:val="E88C08FC"/>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4" w15:restartNumberingAfterBreak="0">
    <w:nsid w:val="1CC97FD4"/>
    <w:multiLevelType w:val="multilevel"/>
    <w:tmpl w:val="7BF4DF2A"/>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5" w15:restartNumberingAfterBreak="0">
    <w:nsid w:val="34921229"/>
    <w:multiLevelType w:val="multilevel"/>
    <w:tmpl w:val="DD70A00A"/>
    <w:styleLink w:val="List4"/>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0">
    <w:nsid w:val="37AC0CA7"/>
    <w:multiLevelType w:val="multilevel"/>
    <w:tmpl w:val="315856BC"/>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7" w15:restartNumberingAfterBreak="0">
    <w:nsid w:val="3F682764"/>
    <w:multiLevelType w:val="multilevel"/>
    <w:tmpl w:val="AE6CFA9C"/>
    <w:styleLink w:val="a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8" w15:restartNumberingAfterBreak="0">
    <w:nsid w:val="45F46FA3"/>
    <w:multiLevelType w:val="multilevel"/>
    <w:tmpl w:val="063A3306"/>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9" w15:restartNumberingAfterBreak="0">
    <w:nsid w:val="4AB720AB"/>
    <w:multiLevelType w:val="multilevel"/>
    <w:tmpl w:val="E4960CAA"/>
    <w:styleLink w:val="List5"/>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0" w15:restartNumberingAfterBreak="0">
    <w:nsid w:val="59A60AD4"/>
    <w:multiLevelType w:val="multilevel"/>
    <w:tmpl w:val="42728B7E"/>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11" w15:restartNumberingAfterBreak="0">
    <w:nsid w:val="75482AB8"/>
    <w:multiLevelType w:val="multilevel"/>
    <w:tmpl w:val="4352EB6A"/>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12" w15:restartNumberingAfterBreak="0">
    <w:nsid w:val="7AFB3501"/>
    <w:multiLevelType w:val="multilevel"/>
    <w:tmpl w:val="423A3BFE"/>
    <w:styleLink w:val="List3"/>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num w:numId="1" w16cid:durableId="1918705555">
    <w:abstractNumId w:val="4"/>
  </w:num>
  <w:num w:numId="2" w16cid:durableId="1628048472">
    <w:abstractNumId w:val="11"/>
  </w:num>
  <w:num w:numId="3" w16cid:durableId="1812861572">
    <w:abstractNumId w:val="8"/>
  </w:num>
  <w:num w:numId="4" w16cid:durableId="414670526">
    <w:abstractNumId w:val="0"/>
  </w:num>
  <w:num w:numId="5" w16cid:durableId="2147315573">
    <w:abstractNumId w:val="12"/>
  </w:num>
  <w:num w:numId="6" w16cid:durableId="116990799">
    <w:abstractNumId w:val="5"/>
  </w:num>
  <w:num w:numId="7" w16cid:durableId="186791419">
    <w:abstractNumId w:val="9"/>
  </w:num>
  <w:num w:numId="8" w16cid:durableId="206988522">
    <w:abstractNumId w:val="3"/>
  </w:num>
  <w:num w:numId="9" w16cid:durableId="1630475567">
    <w:abstractNumId w:val="6"/>
  </w:num>
  <w:num w:numId="10" w16cid:durableId="1748264370">
    <w:abstractNumId w:val="10"/>
  </w:num>
  <w:num w:numId="11" w16cid:durableId="1441072242">
    <w:abstractNumId w:val="2"/>
  </w:num>
  <w:num w:numId="12" w16cid:durableId="1835560120">
    <w:abstractNumId w:val="7"/>
  </w:num>
  <w:num w:numId="13" w16cid:durableId="61933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6719"/>
    <w:rsid w:val="00281EB2"/>
    <w:rsid w:val="00395F7D"/>
    <w:rsid w:val="00586719"/>
    <w:rsid w:val="00962BD7"/>
    <w:rsid w:val="00DE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2B0D"/>
  <w15:docId w15:val="{58D65325-BCFE-438C-9017-20C723B8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3"/>
        <w:sz w:val="24"/>
        <w:szCs w:val="24"/>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style>
  <w:style w:type="paragraph" w:styleId="10">
    <w:name w:val="heading 1"/>
    <w:basedOn w:val="Heading"/>
    <w:next w:val="Firstlineindent"/>
    <w:uiPriority w:val="9"/>
    <w:qFormat/>
    <w:pPr>
      <w:outlineLvl w:val="0"/>
    </w:pPr>
  </w:style>
  <w:style w:type="paragraph" w:styleId="2">
    <w:name w:val="heading 2"/>
    <w:basedOn w:val="Heading"/>
    <w:next w:val="Textbody"/>
    <w:uiPriority w:val="9"/>
    <w:semiHidden/>
    <w:unhideWhenUsed/>
    <w:qFormat/>
    <w:pPr>
      <w:outlineLvl w:val="1"/>
    </w:pPr>
  </w:style>
  <w:style w:type="paragraph" w:styleId="3">
    <w:name w:val="heading 3"/>
    <w:basedOn w:val="Heading"/>
    <w:next w:val="Textbody"/>
    <w:uiPriority w:val="9"/>
    <w:semiHidden/>
    <w:unhideWhenUsed/>
    <w:qFormat/>
    <w:pPr>
      <w:outlineLvl w:val="2"/>
    </w:pPr>
  </w:style>
  <w:style w:type="paragraph" w:styleId="4">
    <w:name w:val="heading 4"/>
    <w:basedOn w:val="Heading"/>
    <w:next w:val="Textbody"/>
    <w:uiPriority w:val="9"/>
    <w:semiHidden/>
    <w:unhideWhenUsed/>
    <w:qFormat/>
    <w:pPr>
      <w:outlineLvl w:val="3"/>
    </w:pPr>
  </w:style>
  <w:style w:type="paragraph" w:styleId="5">
    <w:name w:val="heading 5"/>
    <w:basedOn w:val="Heading"/>
    <w:next w:val="Textbody"/>
    <w:uiPriority w:val="9"/>
    <w:semiHidden/>
    <w:unhideWhenUsed/>
    <w:qFormat/>
    <w:pPr>
      <w:outlineLvl w:val="4"/>
    </w:pPr>
  </w:style>
  <w:style w:type="paragraph" w:styleId="6">
    <w:name w:val="heading 6"/>
    <w:basedOn w:val="Heading"/>
    <w:next w:val="Textbody"/>
    <w:uiPriority w:val="9"/>
    <w:semiHidden/>
    <w:unhideWhenUsed/>
    <w:qFormat/>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jc w:val="center"/>
    </w:pPr>
    <w:rPr>
      <w:rFonts w:ascii="PT Astra Serif" w:eastAsia="PT Astra Serif" w:hAnsi="PT Astra Serif" w:cs="PT Astra Serif"/>
      <w:sz w:val="28"/>
    </w:rPr>
  </w:style>
  <w:style w:type="paragraph" w:customStyle="1" w:styleId="Heading">
    <w:name w:val="Heading"/>
    <w:basedOn w:val="Standard"/>
    <w:next w:val="Firstlineindent"/>
    <w:pPr>
      <w:spacing w:after="170"/>
    </w:pPr>
    <w:rPr>
      <w:b/>
      <w:sz w:val="21"/>
    </w:rPr>
  </w:style>
  <w:style w:type="paragraph" w:customStyle="1" w:styleId="Textbody">
    <w:name w:val="Text body"/>
    <w:basedOn w:val="Standard"/>
    <w:pPr>
      <w:jc w:val="both"/>
    </w:pPr>
  </w:style>
  <w:style w:type="paragraph" w:styleId="a5">
    <w:name w:val="List"/>
    <w:basedOn w:val="Textbody"/>
    <w:rPr>
      <w:rFonts w:cs="Lohit Devanagari"/>
      <w:sz w:val="21"/>
    </w:rPr>
  </w:style>
  <w:style w:type="paragraph" w:styleId="a6">
    <w:name w:val="caption"/>
    <w:basedOn w:val="Standard"/>
    <w:pPr>
      <w:suppressLineNumbers/>
      <w:spacing w:before="120" w:after="120"/>
    </w:pPr>
    <w:rPr>
      <w:i/>
      <w:iCs/>
      <w:sz w:val="20"/>
      <w:szCs w:val="20"/>
    </w:rPr>
  </w:style>
  <w:style w:type="paragraph" w:customStyle="1" w:styleId="Index">
    <w:name w:val="Index"/>
    <w:basedOn w:val="Heading"/>
  </w:style>
  <w:style w:type="paragraph" w:customStyle="1" w:styleId="Quotations">
    <w:name w:val="Quotations"/>
    <w:basedOn w:val="Standard"/>
  </w:style>
  <w:style w:type="paragraph" w:styleId="a7">
    <w:name w:val="Subtitle"/>
    <w:basedOn w:val="Standard"/>
    <w:next w:val="Firstlineindent"/>
    <w:uiPriority w:val="11"/>
    <w:qForma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8">
    <w:name w:val="Salutation"/>
    <w:basedOn w:val="Standard"/>
  </w:style>
  <w:style w:type="paragraph" w:styleId="a9">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10"/>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11">
    <w:name w:val="index 1"/>
    <w:basedOn w:val="Index"/>
  </w:style>
  <w:style w:type="paragraph" w:styleId="21">
    <w:name w:val="index 2"/>
    <w:basedOn w:val="Index"/>
  </w:style>
  <w:style w:type="paragraph" w:styleId="31">
    <w:name w:val="index 3"/>
    <w:basedOn w:val="Index"/>
  </w:style>
  <w:style w:type="paragraph" w:customStyle="1" w:styleId="IndexSeparator">
    <w:name w:val="Index Separator"/>
    <w:basedOn w:val="Index"/>
  </w:style>
  <w:style w:type="paragraph" w:styleId="aa">
    <w:name w:val="index heading"/>
    <w:basedOn w:val="Heading"/>
    <w:pPr>
      <w:suppressLineNumbers/>
    </w:pPr>
    <w:rPr>
      <w:bCs/>
      <w:sz w:val="32"/>
      <w:szCs w:val="32"/>
    </w:rPr>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b">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c">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rPr>
      <w:rFonts w:eastAsia="Source Han Sans CN Regular" w:cs="Lohit Devanagari"/>
    </w:rPr>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d">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e">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rPr>
  </w:style>
  <w:style w:type="character" w:styleId="af">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character" w:customStyle="1" w:styleId="14">
    <w:name w:val="Обычный 14"/>
    <w:rPr>
      <w:rFonts w:ascii="Times New Roman" w:eastAsia="Times New Roman" w:hAnsi="Times New Roman" w:cs="Times New Roman"/>
      <w:sz w:val="28"/>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IVX">
    <w:name w:val="Numbering IVX"/>
    <w:basedOn w:val="a4"/>
    <w:pPr>
      <w:numPr>
        <w:numId w:val="3"/>
      </w:numPr>
    </w:pPr>
  </w:style>
  <w:style w:type="numbering" w:customStyle="1" w:styleId="List2">
    <w:name w:val="List 2"/>
    <w:basedOn w:val="a4"/>
    <w:pPr>
      <w:numPr>
        <w:numId w:val="4"/>
      </w:numPr>
    </w:pPr>
  </w:style>
  <w:style w:type="numbering" w:customStyle="1" w:styleId="List3">
    <w:name w:val="List 3"/>
    <w:basedOn w:val="a4"/>
    <w:pPr>
      <w:numPr>
        <w:numId w:val="5"/>
      </w:numPr>
    </w:pPr>
  </w:style>
  <w:style w:type="numbering" w:customStyle="1" w:styleId="List4">
    <w:name w:val="List 4"/>
    <w:basedOn w:val="a4"/>
    <w:pPr>
      <w:numPr>
        <w:numId w:val="6"/>
      </w:numPr>
    </w:pPr>
  </w:style>
  <w:style w:type="numbering" w:customStyle="1" w:styleId="List5">
    <w:name w:val="List 5"/>
    <w:basedOn w:val="a4"/>
    <w:pPr>
      <w:numPr>
        <w:numId w:val="7"/>
      </w:numPr>
    </w:pPr>
  </w:style>
  <w:style w:type="numbering" w:customStyle="1" w:styleId="Numberingabc1">
    <w:name w:val="Numbering abc_1"/>
    <w:basedOn w:val="a4"/>
    <w:pPr>
      <w:numPr>
        <w:numId w:val="8"/>
      </w:numPr>
    </w:pPr>
  </w:style>
  <w:style w:type="numbering" w:customStyle="1" w:styleId="Numberingivx1">
    <w:name w:val="Numbering ivx_1"/>
    <w:basedOn w:val="a4"/>
    <w:pPr>
      <w:numPr>
        <w:numId w:val="9"/>
      </w:numPr>
    </w:pPr>
  </w:style>
  <w:style w:type="numbering" w:customStyle="1" w:styleId="List11">
    <w:name w:val="List 1_1"/>
    <w:basedOn w:val="a4"/>
    <w:pPr>
      <w:numPr>
        <w:numId w:val="10"/>
      </w:numPr>
    </w:pPr>
  </w:style>
  <w:style w:type="numbering" w:customStyle="1" w:styleId="1">
    <w:name w:val="Нумерованный 1)"/>
    <w:basedOn w:val="a4"/>
    <w:pPr>
      <w:numPr>
        <w:numId w:val="11"/>
      </w:numPr>
    </w:pPr>
  </w:style>
  <w:style w:type="numbering" w:customStyle="1" w:styleId="a0">
    <w:name w:val="Нумерованный а)"/>
    <w:basedOn w:val="a4"/>
    <w:pPr>
      <w:numPr>
        <w:numId w:val="12"/>
      </w:numPr>
    </w:pPr>
  </w:style>
  <w:style w:type="numbering" w:customStyle="1" w:styleId="a">
    <w:name w:val="Нумерованный для таблиц"/>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gleb galin</dc:creator>
  <cp:lastModifiedBy>Office</cp:lastModifiedBy>
  <cp:revision>2</cp:revision>
  <cp:lastPrinted>2026-04-29T10:06:00Z</cp:lastPrinted>
  <dcterms:created xsi:type="dcterms:W3CDTF">2026-04-29T12:41:00Z</dcterms:created>
  <dcterms:modified xsi:type="dcterms:W3CDTF">2026-04-29T12:41:00Z</dcterms:modified>
</cp:coreProperties>
</file>