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rPr/>
      </w:pPr>
      <w:r>
        <w:rPr/>
        <w:t xml:space="preserve">Порядок расчета размера субсидии </w:t>
      </w:r>
    </w:p>
    <w:p>
      <w:pPr>
        <w:pStyle w:val="Normal"/>
        <w:bidi w:val="0"/>
        <w:spacing w:lineRule="auto" w:line="259" w:before="0" w:after="25"/>
        <w:ind w:left="708" w:hanging="0"/>
        <w:rPr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>
      <w:pPr>
        <w:pStyle w:val="Normal"/>
        <w:bidi w:val="0"/>
        <w:spacing w:lineRule="auto" w:line="367"/>
        <w:ind w:left="709" w:firstLine="567"/>
        <w:jc w:val="both"/>
        <w:rPr>
          <w:sz w:val="28"/>
        </w:rPr>
      </w:pPr>
      <w:r>
        <w:rPr>
          <w:sz w:val="28"/>
        </w:rPr>
        <w:t xml:space="preserve">Размер субсидии акционерному обществу «КАВКАЗ.РФ» в 2026 году </w:t>
        <w:br/>
        <w:t xml:space="preserve">на осуществление функций по управлению туристско-рекреационными особыми экономическими зонами, входящими в состав туристического кластера в Северо-Кавказском федеральном округе, развитию туризма на территории Северо-Кавказского федерального округа определен в соответствии с показателями Федерального закона от 28 ноября 2025 г. № 426-ФЗ «О федеральном бюджете на 2026 год и на плановый период 2027 и 2028 годов» и составляет 820,2 млн рублей по коду бюджетной классификации 139 0412 35 2 02 62362 817. </w:t>
      </w:r>
    </w:p>
    <w:p>
      <w:pPr>
        <w:pStyle w:val="Normal"/>
        <w:bidi w:val="0"/>
        <w:spacing w:lineRule="auto" w:line="259"/>
        <w:ind w:left="708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1</Pages>
  <Words>104</Words>
  <Characters>590</Characters>
  <CharactersWithSpaces>687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2026-05-04T13:50:17Z</dcterms:created>
  <dc:creator/>
  <dc:description/>
  <dc:language>ru-RU</dc:language>
  <cp:lastModifiedBy/>
  <dcterms:modified xsi:type="dcterms:W3CDTF">2026-05-04T13:50:37Z</dcterms:modified>
  <cp:revision>2</cp:revision>
  <dc:subject/>
  <dc:title>Default</dc:title>
</cp:coreProperties>
</file>