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ffffff" w:themeColor="background1"/>
        </w:rPr>
      </w:pPr>
      <w:r>
        <w:rPr>
          <w:color w:val="ffffff" w:themeColor="background1"/>
        </w:rPr>
        <w:t xml:space="preserve">–––Проект </w:t>
      </w:r>
      <w:r>
        <w:rPr>
          <w:color w:val="ffffff" w:themeColor="background1"/>
        </w:rPr>
      </w:r>
    </w:p>
    <w:tbl>
      <w:tblPr>
        <w:tblpPr w:horzAnchor="margin" w:tblpXSpec="left" w:vertAnchor="text" w:tblpY="101" w:leftFromText="180" w:topFromText="0" w:rightFromText="180" w:bottomFromText="200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2799"/>
        <w:gridCol w:w="3438"/>
      </w:tblGrid>
      <w:tr>
        <w:trPr>
          <w:trHeight w:val="1134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47" w:type="dxa"/>
            <w:textDirection w:val="lrTb"/>
            <w:noWrap w:val="false"/>
          </w:tcPr>
          <w:p>
            <w:pPr>
              <w:ind w:firstLine="0"/>
              <w:jc w:val="center"/>
              <w:rPr>
                <w:vanish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vanish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04825" cy="619125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48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9.75pt;height:48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vanish/>
                <w:sz w:val="26"/>
                <w:szCs w:val="26"/>
              </w:rPr>
            </w:r>
          </w:p>
          <w:p>
            <w:pPr>
              <w:pStyle w:val="911"/>
              <w:ind w:left="-142" w:right="-126"/>
              <w:spacing w:line="240" w:lineRule="auto"/>
              <w:rPr>
                <w:b w:val="0"/>
                <w:spacing w:val="60"/>
                <w:sz w:val="28"/>
                <w:szCs w:val="28"/>
                <w:lang w:eastAsia="en-US"/>
              </w:rPr>
            </w:pPr>
            <w:r>
              <w:rPr>
                <w:b w:val="0"/>
                <w:vanish/>
                <w:sz w:val="26"/>
                <w:szCs w:val="26"/>
              </w:rPr>
              <w:t xml:space="preserve">МИНЭКОНОМРАЗВИТИЯ РОССИИ</w:t>
            </w:r>
            <w:r>
              <w:rPr>
                <w:vanish/>
                <w:sz w:val="28"/>
                <w:szCs w:val="28"/>
              </w:rPr>
              <w:br w:type="textWrapping" w:clear="all"/>
              <w:t xml:space="preserve">ФЕДЕРАЛЬНАЯ СЛУЖБА ГОСУДАРСТВЕННОЙ СТАТИСТИКИ</w:t>
            </w:r>
            <w:r>
              <w:rPr>
                <w:vanish/>
                <w:sz w:val="28"/>
                <w:szCs w:val="28"/>
              </w:rPr>
              <w:br w:type="textWrapping" w:clear="all"/>
              <w:t xml:space="preserve">(РОССТАТ)</w:t>
            </w:r>
            <w:r>
              <w:rPr>
                <w:b w:val="0"/>
                <w:spacing w:val="60"/>
                <w:sz w:val="28"/>
                <w:szCs w:val="28"/>
                <w:lang w:eastAsia="en-US"/>
              </w:rPr>
            </w:r>
          </w:p>
        </w:tc>
      </w:tr>
      <w:tr>
        <w:trPr>
          <w:trHeight w:val="765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720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b/>
                <w:bCs/>
                <w:vanish/>
                <w:spacing w:val="60"/>
                <w:sz w:val="34"/>
                <w:szCs w:val="34"/>
              </w:rPr>
              <w:t xml:space="preserve">ПРИКАЗ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</w:r>
          </w:p>
        </w:tc>
      </w:tr>
      <w:tr>
        <w:trPr>
          <w:trHeight w:val="5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textDirection w:val="lrTb"/>
            <w:noWrap w:val="false"/>
          </w:tcPr>
          <w:p>
            <w:pPr>
              <w:ind w:firstLine="0"/>
              <w:jc w:val="left"/>
              <w:spacing w:before="120"/>
              <w:tabs>
                <w:tab w:val="left" w:pos="1080" w:leader="none"/>
              </w:tabs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99" w:type="dxa"/>
            <w:textDirection w:val="lrTb"/>
            <w:noWrap w:val="false"/>
          </w:tcPr>
          <w:p>
            <w:pPr>
              <w:ind w:firstLine="0"/>
              <w:jc w:val="center"/>
              <w:spacing w:before="360"/>
              <w:tabs>
                <w:tab w:val="left" w:pos="1080" w:leader="none"/>
              </w:tabs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b/>
                <w:vanish/>
                <w:lang w:eastAsia="en-US"/>
              </w:rPr>
              <w:t xml:space="preserve">Москва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38" w:type="dxa"/>
            <w:textDirection w:val="lrTb"/>
            <w:noWrap w:val="false"/>
          </w:tcPr>
          <w:p>
            <w:pPr>
              <w:ind w:firstLine="0"/>
              <w:jc w:val="right"/>
              <w:spacing w:before="120"/>
              <w:rPr>
                <w:b/>
                <w:bCs/>
                <w:vanish/>
              </w:rPr>
            </w:pPr>
            <w:r>
              <w:rPr>
                <w:b/>
                <w:bCs/>
                <w:vanish/>
              </w:rPr>
              <w:t xml:space="preserve"> </w:t>
            </w:r>
            <w:r>
              <w:rPr>
                <w:b/>
                <w:bCs/>
                <w:vanish/>
                <w:u w:val="single"/>
              </w:rPr>
              <w:t xml:space="preserve">  </w:t>
            </w:r>
            <w:r>
              <w:rPr>
                <w:b/>
                <w:bCs/>
                <w:vanish/>
              </w:rPr>
            </w:r>
          </w:p>
        </w:tc>
      </w:tr>
    </w:tbl>
    <w:p>
      <w:pPr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47" w:type="dxa"/>
            <w:textDirection w:val="lrTb"/>
            <w:noWrap w:val="false"/>
          </w:tcPr>
          <w:p>
            <w:pPr>
              <w:pStyle w:val="9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проверок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федеральных государственных гражданских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службы государственной статистики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9"/>
              <w:jc w:val="center"/>
              <w:rPr>
                <w:rFonts w:ascii="Times New Roman CYR" w:hAnsi="Times New Roman CYR" w:cs="Times New Roman CYR"/>
                <w:b w:val="0"/>
              </w:rPr>
            </w:pPr>
            <w:r>
              <w:rPr>
                <w:rFonts w:ascii="Times New Roman CYR" w:hAnsi="Times New Roman CYR" w:cs="Times New Roman CYR"/>
                <w:b w:val="0"/>
              </w:rPr>
            </w:r>
            <w:r>
              <w:rPr>
                <w:rFonts w:ascii="Times New Roman CYR" w:hAnsi="Times New Roman CYR" w:cs="Times New Roman CYR"/>
                <w:b w:val="0"/>
              </w:rPr>
            </w:r>
          </w:p>
        </w:tc>
      </w:tr>
    </w:tbl>
    <w:p>
      <w:pPr>
        <w:spacing w:line="312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 соответствии с частью 11 статьи 59 Федерального закона от 27 июля </w:t>
      </w:r>
      <w:r>
        <w:rPr>
          <w:color w:val="000000"/>
        </w:rPr>
        <w:br/>
        <w:t xml:space="preserve">2004 г. № 79-ФЗ «О государственной гражданской службе Российской Федерации» п р и к а з ы в а ю:</w:t>
      </w:r>
      <w:r>
        <w:rPr>
          <w:color w:val="000000"/>
        </w:rPr>
      </w:r>
    </w:p>
    <w:p>
      <w:pPr>
        <w:pStyle w:val="751"/>
        <w:numPr>
          <w:ilvl w:val="0"/>
          <w:numId w:val="2"/>
        </w:numPr>
        <w:ind w:left="0" w:firstLine="709"/>
        <w:spacing w:line="312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Утвердить прилагаемый Порядок проведени</w:t>
      </w:r>
      <w:r>
        <w:rPr>
          <w:color w:val="000000"/>
        </w:rPr>
        <w:t xml:space="preserve">я</w:t>
      </w:r>
      <w:r>
        <w:rPr>
          <w:color w:val="000000"/>
        </w:rPr>
        <w:t xml:space="preserve"> служебных проверок </w:t>
      </w:r>
      <w:r>
        <w:rPr>
          <w:color w:val="000000"/>
        </w:rPr>
        <w:br/>
      </w:r>
      <w:r>
        <w:rPr>
          <w:color w:val="000000"/>
        </w:rPr>
        <w:t xml:space="preserve">в отношении федеральных государственных гражданских служащих Федеральной службы государственной статистики.</w:t>
      </w:r>
      <w:r>
        <w:rPr>
          <w:color w:val="000000"/>
        </w:rPr>
      </w:r>
    </w:p>
    <w:p>
      <w:pPr>
        <w:spacing w:line="312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2. Признать утратившим силу приказ Росстата от 7 июня 2013 г. № 204 </w:t>
      </w:r>
      <w:r>
        <w:rPr>
          <w:color w:val="000000"/>
        </w:rPr>
        <w:br/>
        <w:t xml:space="preserve">«Об организации работы по проведению служебных проверок в отношении федеральных государственных гражданских служащих Федеральной службы государственной статистики» (зарегистрирован Минюстом России 18 июля </w:t>
      </w:r>
      <w:r>
        <w:rPr>
          <w:color w:val="000000"/>
        </w:rPr>
        <w:br/>
        <w:t xml:space="preserve">2013 г., регистрационный № 29095).</w:t>
      </w:r>
      <w:r/>
    </w:p>
    <w:tbl>
      <w:tblPr>
        <w:tblW w:w="97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2126"/>
        <w:gridCol w:w="282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jc w:val="left"/>
              <w:spacing w:before="720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 xml:space="preserve">Руководитель</w:t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29" w:type="dxa"/>
            <w:vAlign w:val="bottom"/>
            <w:textDirection w:val="lrTb"/>
            <w:noWrap w:val="false"/>
          </w:tcPr>
          <w:p>
            <w:pPr>
              <w:ind w:firstLine="0"/>
              <w:jc w:val="right"/>
              <w:spacing w:before="720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 xml:space="preserve">С.С. Галкин</w:t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701" w:header="425" w:footer="493" w:gutter="0"/>
          <w:pgNumType w:start="1"/>
          <w:cols w:num="1" w:sep="0" w:space="708" w:equalWidth="1"/>
          <w:docGrid w:linePitch="360"/>
          <w:titlePg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1"/>
        <w:ind w:left="6379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Росстата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</w:t>
      </w:r>
      <w:r>
        <w:rPr>
          <w:rFonts w:ascii="Times New Roman" w:hAnsi="Times New Roman" w:cs="Times New Roman"/>
          <w:sz w:val="28"/>
          <w:szCs w:val="28"/>
        </w:rPr>
        <w:t xml:space="preserve">_._</w:t>
      </w:r>
      <w:r>
        <w:rPr>
          <w:rFonts w:ascii="Times New Roman" w:hAnsi="Times New Roman" w:cs="Times New Roman"/>
          <w:sz w:val="28"/>
          <w:szCs w:val="28"/>
        </w:rPr>
        <w:t xml:space="preserve">__.____    № 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28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служебных проверок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федеральных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служащих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9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служебных проверок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федер</w:t>
      </w:r>
      <w:r>
        <w:rPr>
          <w:rFonts w:ascii="Times New Roman" w:hAnsi="Times New Roman" w:cs="Times New Roman"/>
          <w:sz w:val="28"/>
          <w:szCs w:val="28"/>
        </w:rPr>
        <w:t xml:space="preserve">альных государственных гражданских служащих центрального аппарата Росстата и его территориальных органов (далее – Порядок, гражданские служащие соответственно) определяет организацию работы по проведению служебных проверок в отношении гражданских служащих.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numPr>
          <w:ilvl w:val="0"/>
          <w:numId w:val="4"/>
        </w:numPr>
        <w:ind w:left="0" w:firstLine="709"/>
        <w:spacing w:line="276" w:lineRule="auto"/>
        <w:tabs>
          <w:tab w:val="left" w:pos="993" w:leader="none"/>
        </w:tabs>
      </w:pPr>
      <w:r>
        <w:t xml:space="preserve">Решение о проведении служебной проверки принимается:</w:t>
      </w:r>
      <w:r/>
    </w:p>
    <w:p>
      <w:pPr>
        <w:pStyle w:val="751"/>
        <w:ind w:left="0"/>
        <w:spacing w:line="276" w:lineRule="auto"/>
        <w:tabs>
          <w:tab w:val="left" w:pos="1134" w:leader="none"/>
        </w:tabs>
      </w:pPr>
      <w:r>
        <w:t xml:space="preserve">руководителем Росстата (лицом, исполняющим его обязанности) </w:t>
      </w:r>
      <w:r>
        <w:br/>
      </w:r>
      <w:r>
        <w:t xml:space="preserve">(далее – руко</w:t>
      </w:r>
      <w:r>
        <w:t xml:space="preserve">водитель Росстата) – в отношении гражданских служащих Росстата, за исключением заместителей руководителя Росстата, гражданских служащих территориальных органов Росстата, замещающих должности руководителей территориальных органов Росстата и их заместителей;</w:t>
      </w:r>
      <w:r/>
    </w:p>
    <w:p>
      <w:pPr>
        <w:pStyle w:val="751"/>
        <w:ind w:left="0"/>
        <w:spacing w:line="276" w:lineRule="auto"/>
        <w:tabs>
          <w:tab w:val="left" w:pos="1134" w:leader="none"/>
        </w:tabs>
      </w:pPr>
      <w:r>
        <w:t xml:space="preserve">руководителем территориального органа Росстата (лицом, исполняющим его обязанности) (далее – руководитель территориального органа Росстата) – </w:t>
      </w:r>
      <w:r>
        <w:br/>
      </w:r>
      <w:r>
        <w:t xml:space="preserve">в отношении гражданских служащих территориального органа Росстата.</w:t>
      </w:r>
      <w:r/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57 Федера</w:t>
      </w:r>
      <w:r>
        <w:rPr>
          <w:rFonts w:ascii="Times New Roman" w:hAnsi="Times New Roman" w:cs="Times New Roman"/>
          <w:sz w:val="28"/>
          <w:szCs w:val="28"/>
        </w:rPr>
        <w:t xml:space="preserve">льного закона за совершение дисциплинарного проступка, то есть за неисполнение или ненадлежащее исполнение гражданским служащим по его вине возложенных на него служебных обязанностей, представитель нанимателя имеет право применить дисциплинарное взыскание.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58 Федерального закона перед применением к гражданскому служащему дисциплинарного взыскания проводится служебная проверка.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служебной проверки должны быть полностью, объективно и всесторонне установлены: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совершения гражданским служащим дисциплинарного проступка;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гражданского служащего;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и условия, способствовавшие совершению гражданским служащим дисциплинарного проступка;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и размер вреда, причиненного гражданским служащим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результате дисциплинарного проступка;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послужившие основанием для письменного заявления гражданского служащего о проведении служебной проверки.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contextualSpacing/>
        <w:ind w:left="709"/>
        <w:jc w:val="center"/>
        <w:spacing w:line="276" w:lineRule="auto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II. Организация и проведение служебной проверки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numPr>
          <w:ilvl w:val="0"/>
          <w:numId w:val="4"/>
        </w:numPr>
        <w:ind w:left="0" w:firstLine="709"/>
        <w:spacing w:line="276" w:lineRule="auto"/>
        <w:tabs>
          <w:tab w:val="left" w:pos="993" w:leader="none"/>
        </w:tabs>
      </w:pPr>
      <w:r>
        <w:t xml:space="preserve">Основанием проведения служебной проверки в Росстате является:</w:t>
      </w:r>
      <w:r/>
    </w:p>
    <w:p>
      <w:pPr>
        <w:spacing w:line="276" w:lineRule="auto"/>
        <w:tabs>
          <w:tab w:val="left" w:pos="993" w:leader="none"/>
        </w:tabs>
      </w:pPr>
      <w:r>
        <w:t xml:space="preserve">решение руководителя Росстата по результатам рассмотрения докладной записки заместителя руководителя Росстата и (или) начальника структурного подразделения Росстата</w:t>
      </w:r>
      <w:r>
        <w:t xml:space="preserve"> (самостоятельного отдела)</w:t>
      </w:r>
      <w:r>
        <w:t xml:space="preserve">, содержащей сведения </w:t>
      </w:r>
      <w:r>
        <w:br/>
      </w:r>
      <w:r>
        <w:t xml:space="preserve">о признаках совершения конкретным гражданским служащим Росстата дисциплинарного проступка, с приложением подтверждающих материалов, </w:t>
      </w:r>
      <w:r>
        <w:br/>
      </w:r>
      <w:r>
        <w:t xml:space="preserve">а также ссылки на положения нормативных правовых и иных актов, нарушенных гражданским служащим Росстата в связи с совершением дисциплинарного проступка;</w:t>
      </w:r>
      <w:r/>
    </w:p>
    <w:p>
      <w:pPr>
        <w:spacing w:line="276" w:lineRule="auto"/>
        <w:tabs>
          <w:tab w:val="left" w:pos="993" w:leader="none"/>
        </w:tabs>
      </w:pPr>
      <w:r>
        <w:t xml:space="preserve">письменное заявление гражданского служащего Росстата на имя руководителя Росстата о проведении служебной проверки.</w:t>
      </w:r>
      <w:r/>
    </w:p>
    <w:p>
      <w:pPr>
        <w:pStyle w:val="751"/>
        <w:numPr>
          <w:ilvl w:val="0"/>
          <w:numId w:val="4"/>
        </w:numPr>
        <w:ind w:left="0" w:firstLine="709"/>
        <w:spacing w:line="276" w:lineRule="auto"/>
        <w:tabs>
          <w:tab w:val="left" w:pos="993" w:leader="none"/>
        </w:tabs>
      </w:pPr>
      <w:r>
        <w:t xml:space="preserve">Основанием проведения служебной проверки в территориальном органе Росстата является:</w:t>
      </w:r>
      <w:r/>
    </w:p>
    <w:p>
      <w:pPr>
        <w:pStyle w:val="751"/>
        <w:ind w:left="0"/>
        <w:spacing w:before="280" w:line="276" w:lineRule="auto"/>
        <w:tabs>
          <w:tab w:val="left" w:pos="993" w:leader="none"/>
        </w:tabs>
      </w:pPr>
      <w:r>
        <w:t xml:space="preserve">решение руководителя территориального органа Росстата по результатам рассмотрения:</w:t>
      </w:r>
      <w:r/>
    </w:p>
    <w:p>
      <w:pPr>
        <w:pStyle w:val="751"/>
        <w:ind w:left="0"/>
        <w:spacing w:before="280" w:line="276" w:lineRule="auto"/>
        <w:tabs>
          <w:tab w:val="left" w:pos="993" w:leader="none"/>
        </w:tabs>
      </w:pPr>
      <w:r>
        <w:t xml:space="preserve">поручения руководителя Росстата о проведении служебной проверки </w:t>
      </w:r>
      <w:r>
        <w:br/>
        <w:t xml:space="preserve">в отношении конкретного гражданского служащего территориального органа Росстата;</w:t>
      </w:r>
      <w:r/>
    </w:p>
    <w:p>
      <w:pPr>
        <w:pStyle w:val="751"/>
        <w:ind w:left="0"/>
        <w:spacing w:before="280" w:line="276" w:lineRule="auto"/>
        <w:tabs>
          <w:tab w:val="left" w:pos="993" w:leader="none"/>
        </w:tabs>
      </w:pPr>
      <w:r>
        <w:t xml:space="preserve">докладной записки заместителя руководителя территориального органа Росстата и (или) начальника структурного подразделения территориального органа Росстата, содержащей сведения о признаках совершения конкретным гражданским служащим территориального орга</w:t>
      </w:r>
      <w:r>
        <w:t xml:space="preserve">на Росстата дисциплинарного проступка, с приложением подтверждающих материалов, а также ссылки на положения нормативных правовых и иных актов, нарушенных гражданским служащим территориального органа Росстата в связи с совершением дисциплинарного проступка.</w:t>
      </w:r>
      <w:r/>
    </w:p>
    <w:p>
      <w:pPr>
        <w:pStyle w:val="751"/>
        <w:ind w:left="0"/>
        <w:spacing w:before="280" w:line="276" w:lineRule="auto"/>
        <w:tabs>
          <w:tab w:val="left" w:pos="993" w:leader="none"/>
        </w:tabs>
      </w:pPr>
      <w:r>
        <w:t xml:space="preserve">письменное заявление гражданского служащего территориального органа Росстата на имя руководителя территориального органа Росстата </w:t>
      </w:r>
      <w:r>
        <w:br/>
        <w:t xml:space="preserve">о проведении служебной проверки.</w:t>
      </w:r>
      <w:r/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служебной проверки оформляется приказом Росстата (территориального органа Росстата), который подписывает руководитель Росстата (руководитель территориального органа Росстата).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Росстата (территориального органа Росстата)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проведении служебной проверки подготавливается: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Росстате – в отношении гражданских служащих Росстата отделом государственной службы и кадров Административного управления Росстата,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в отношении гражданских служащих, замещающих должности руководителей и заместителей руководителей территориальных органов Росстата, отделом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работе с кадрами территориальных органов и организаций Административного управления Росстата (далее – Кадровая служба Росстата);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территориальном органе Росстата – структурным подразделением территориального органа Росстата, в ведении которого находятся вопросы государственной гражданской службы и кадров (далее – Кадровая служба территориального органа Росстата).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Днем принятия решения о проведении служебной проверки является дата издания приказа.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приказе Росстата (территориального органа Росстата) 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роведении служебной проверки: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указываются основание для проведения служебной проверки, должность, фамилия, имя и отчество (при наличии) гражданского служащего, в отношении которого (либо по письменному заявлению которого) проводится служебная проверка;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определяется состав комиссии </w:t>
      </w:r>
      <w:r>
        <w:rPr>
          <w:rFonts w:ascii="Times New Roman" w:hAnsi="Times New Roman" w:cs="Times New Roman"/>
          <w:sz w:val="28"/>
          <w:szCs w:val="28"/>
        </w:rPr>
        <w:t xml:space="preserve">и ее председатель с указанием должностей, фамилий, имен и отчеств (при наличии) членов комиссии по проведению служебной проверки (далее – комиссия) с указанием (в случае необходимости) на освобождение ее членов от служебных обязанностей на период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определяется срок проведения служебной проверки.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Служебная проверка должна быть завершена в срок, не превышающий 60 календарных дней со дня принятия решения о ее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роведении. Срок служебной проверки может быть продлен до 90 календарных дней руководителем Росстата (руководителем территориального органа Росстата).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период нахождения гражданского служащего,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которого проводится служебная проверка, в отпуске, командировке, а также его временной нетрудоспособности проведение служебной проверки может быть приостановлено по решению руководителя Росстата (руководителя территориального органа Росстата).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Гражданский служащий, в отношении которого (по письменному заявлению которого) проводится служебная проверка, представляет письменное </w:t>
      </w:r>
      <w:r>
        <w:rPr>
          <w:rFonts w:ascii="Times New Roman" w:hAnsi="Times New Roman" w:cs="Times New Roman"/>
          <w:sz w:val="28"/>
          <w:szCs w:val="28"/>
        </w:rPr>
        <w:t xml:space="preserve">объяснение </w:t>
      </w:r>
      <w:r>
        <w:rPr>
          <w:rFonts w:ascii="Times New Roman" w:hAnsi="Times New Roman" w:cs="Times New Roman"/>
          <w:sz w:val="28"/>
          <w:szCs w:val="28"/>
        </w:rPr>
        <w:t xml:space="preserve">(рекомендуемый о</w:t>
      </w:r>
      <w:r>
        <w:rPr>
          <w:rFonts w:ascii="Times New Roman" w:hAnsi="Times New Roman" w:cs="Times New Roman"/>
          <w:sz w:val="28"/>
          <w:szCs w:val="28"/>
        </w:rPr>
        <w:t xml:space="preserve">бразец приведен в приложении № 1</w:t>
      </w:r>
      <w:r>
        <w:rPr>
          <w:rFonts w:ascii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получения запроса председателя комиссии.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случае отказа гражданского служащего, в отношении которого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(по письменному заявлению которого) проводится служебная проверка,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письменного объяснения составляется акт (рекомендуемый образец приведен в приложении № 2 к Порядку).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 с предварительного письменного согласия гражданского </w:t>
      </w:r>
      <w:r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(по письменному заявлению которого) проводится служебная проверка (иного лица, от которого получают объяснения), может применяться аудио- или видеозапись (рекомендуемый образец согласия приведен в приложении № 3 к Порядку).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этом случае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заключении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служебной проверки</w:t>
      </w:r>
      <w:r>
        <w:rPr>
          <w:rFonts w:ascii="Times New Roman" w:hAnsi="Times New Roman" w:cs="Times New Roman"/>
          <w:sz w:val="28"/>
          <w:szCs w:val="28"/>
        </w:rPr>
        <w:t xml:space="preserve"> должна быть сделана отметка о проведении аудио- или видеозаписи.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Носители записи приобщаются к материалам служебной проверки </w:t>
      </w:r>
      <w:r>
        <w:rPr>
          <w:rFonts w:ascii="Times New Roman" w:hAnsi="Times New Roman" w:cs="Times New Roman"/>
          <w:sz w:val="28"/>
          <w:szCs w:val="28"/>
        </w:rPr>
        <w:br/>
        <w:t xml:space="preserve">с указанием наименования и серийного номера </w:t>
      </w:r>
      <w:r>
        <w:rPr>
          <w:rFonts w:ascii="Times New Roman" w:hAnsi="Times New Roman" w:cs="Times New Roman"/>
          <w:sz w:val="28"/>
          <w:szCs w:val="28"/>
        </w:rPr>
        <w:t xml:space="preserve">звуко</w:t>
      </w:r>
      <w:r>
        <w:rPr>
          <w:rFonts w:ascii="Times New Roman" w:hAnsi="Times New Roman" w:cs="Times New Roman"/>
          <w:sz w:val="28"/>
          <w:szCs w:val="28"/>
        </w:rPr>
        <w:t xml:space="preserve">- или видеозаписывающей аппаратуры и носителя.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numPr>
          <w:ilvl w:val="0"/>
          <w:numId w:val="4"/>
        </w:numPr>
        <w:ind w:left="0" w:firstLine="709"/>
        <w:spacing w:line="276" w:lineRule="auto"/>
        <w:widowControl w:val="off"/>
        <w:tabs>
          <w:tab w:val="left" w:pos="1134" w:leader="none"/>
        </w:tabs>
      </w:pPr>
      <w:r>
        <w:t xml:space="preserve"> Гражданский служащий, в отношении которого проводится служебная проверка, по решению руко</w:t>
      </w:r>
      <w:r>
        <w:t xml:space="preserve">водителя Росстата (руководителя территориального органа Росстата)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</w:t>
      </w:r>
      <w:r>
        <w:t xml:space="preserve">данской службы. Временное отстранение гражданского служащего от замещаемой должности гражданской службы производится руководителем Росстата (руководителем территориального органа Росстата) и оформляется приказом Росстата (территориального органа Росстата).</w:t>
      </w:r>
      <w:r/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Руководитель Росстата (руководитель территориального органа Росстата) обязан контролировать своевременность и правильность проведения служебной проверки.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contextualSpacing/>
        <w:jc w:val="center"/>
        <w:spacing w:line="276" w:lineRule="auto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III. Участники служебной проверки и их полномочия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Служебная проверка проводится комиссией, которая состоит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четырех и более гражданских служащих.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включаются: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8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Росстате – заместитель руководителя Росстата или советник (помощник) руководителя Росстата (председатель комиссии), гражданский служащий Кадровой службы Росстата,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гражданский служащий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правового обеспечения, представитель выборного профсоюзного органа Росстата, гражданские служащие иных структурных подразделений Росстата, обладающие </w:t>
      </w:r>
      <w:r>
        <w:rPr>
          <w:rFonts w:ascii="Times New Roman" w:hAnsi="Times New Roman" w:cs="Times New Roman"/>
          <w:sz w:val="28"/>
          <w:szCs w:val="28"/>
        </w:rPr>
        <w:t xml:space="preserve">необходимыми знаниями и опытом (при необходимости);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8"/>
        <w:jc w:val="both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территориальном органе Росстата – замести</w:t>
      </w:r>
      <w:r>
        <w:rPr>
          <w:rFonts w:ascii="Times New Roman" w:hAnsi="Times New Roman" w:cs="Times New Roman"/>
          <w:sz w:val="28"/>
          <w:szCs w:val="28"/>
        </w:rPr>
        <w:t xml:space="preserve">тель руководителя территориального органа Росстата (председатель комиссии); гражданский служащий Кадровой службы территориального органа, гражданский служащий юридического (правового) структурного подразделения либо гражданский служащий, ответственный за ю</w:t>
      </w:r>
      <w:r>
        <w:rPr>
          <w:rFonts w:ascii="Times New Roman" w:hAnsi="Times New Roman" w:cs="Times New Roman"/>
          <w:sz w:val="28"/>
          <w:szCs w:val="28"/>
        </w:rPr>
        <w:t xml:space="preserve">ридическую (правовую) работу, представитель выборного профсоюзного органа территориального органа Росстата, гражданские служащие иных структурных подразделений территориального органа Росстата, обладающие необходимыми знаниями и опытом (при необходимости).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numPr>
          <w:ilvl w:val="0"/>
          <w:numId w:val="4"/>
        </w:numPr>
        <w:ind w:left="0" w:firstLine="709"/>
        <w:spacing w:line="276" w:lineRule="auto"/>
        <w:widowControl w:val="off"/>
        <w:tabs>
          <w:tab w:val="left" w:pos="1134" w:leader="none"/>
        </w:tabs>
        <w:rPr>
          <w:rFonts w:eastAsia="Arial"/>
        </w:rPr>
      </w:pPr>
      <w:r>
        <w:rPr>
          <w:rFonts w:eastAsia="Arial"/>
        </w:rPr>
        <w:t xml:space="preserve"> Состав комиссии для проведения служебной проверки, связанной </w:t>
      </w:r>
      <w:r>
        <w:rPr>
          <w:rFonts w:eastAsia="Arial"/>
        </w:rPr>
        <w:br/>
        <w:t xml:space="preserve">с использованием сведений, составляющих государственную тайну, формируется с учетом положений законодательства Российской Федерации </w:t>
      </w:r>
      <w:r>
        <w:rPr>
          <w:rFonts w:eastAsia="Arial"/>
        </w:rPr>
        <w:br/>
        <w:t xml:space="preserve">о государственной тайне.</w:t>
      </w:r>
      <w:r>
        <w:rPr>
          <w:rFonts w:eastAsia="Arial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должностному лицу, принявшему решение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проведении служебной проверки, указанному в пункте 2 Порядка,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письменным заявлением об освобождении его от участия в проведении этой служебной проверки. При несоблюдении указанного требования результаты служебной проверки считаются недействительными.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организует работу комиссии по полному, объективному и всестороннему изучению в ходе служебной проверки </w:t>
      </w:r>
      <w:r>
        <w:rPr>
          <w:rFonts w:ascii="Times New Roman" w:hAnsi="Times New Roman" w:cs="Times New Roman"/>
          <w:sz w:val="28"/>
          <w:szCs w:val="28"/>
        </w:rPr>
        <w:t xml:space="preserve">фактов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послуживших основанием для ее назначения, соблюдению процедуры и сроков проведения служебной проверки.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1"/>
          <w:numId w:val="3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реализует полномочие представителя нанимателя, предусмотренное частью 1 статьи 58 Федерального закона, по затребованию объяснения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 от гражданского служащего, в отношении которого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(по письменному заявлению которого) проводится служебная проверка;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1"/>
          <w:numId w:val="3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координирует работу членов комиссии, организует взаимодействие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осуществляет контроль за их деятельностью;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1"/>
          <w:numId w:val="3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членам комиссии методическую помощь по сбору, обобщению и анализу изучаемых в ходе служебной проверки 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1"/>
          <w:numId w:val="3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запросы о представлении необходимых документов, материалов и информации с целью установления фактов и обстоятельств, имеющих отношение к служебной проверке;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left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1"/>
          <w:numId w:val="3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пользуется правами и исполняет обязанности члена комиссии,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1" w:name="P92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Член комиссии в соответствии с поставленными перед ним задачами с целью выяснения фактических обстоятельств имеет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5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запрашивать у гражданских служащих и иных лиц, которым могут быть известны какие-либо сведения об обстоятельствах, подлежащих установлению в ходе служебной проверки, письменные объяснения на имя председателя комиссии;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5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знакомиться с документами, имеющими отношение к предмету служебной проверки, приобщать их (или их копии) в случае необходимости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материалам служебной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5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консультации у специалистов по вопросам, требующим специальных знаний;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5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посещать с разрешения председателя комиссии место совершения дисциплинарного проступка.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2" w:name="P97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 Член комиссии обязан: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6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права и свободы гражданского служащего, в отношении которого (по письменному заявлению которого) проводится служебная проверка, и иных лиц, привлекаемых к служебной проверке;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6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сохранность материалов служебной проверки,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разглашать и не распространять сведения, имеющие отношение к предмету служебной проверки, а также ее результаты.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Гражданский служащий, в отношении которого (по письменному заявлению которого) проводится служебная проверка, в соответствии с частью 8 статьи 59 Федерального закона имеет право: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7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приказом Росстата (территориального органа Росстата) о проведении служебной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7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давать устные и письменные объяснения (письменные объяснения пишутся на имя председателя комиссии);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7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заявления, ходатайства и иные документы или их копии, которые приобщаются к материалам служебной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7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обжаловать решения и действия (бездействие) гражданских служащих, проводящих служебную проверку, руководителю Росстата (руководителю территориального органа Росстата), назначившему служебную проверку;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7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</w:t>
      </w:r>
      <w:r>
        <w:rPr>
          <w:rFonts w:ascii="Times New Roman" w:hAnsi="Times New Roman" w:cs="Times New Roman"/>
          <w:sz w:val="28"/>
          <w:szCs w:val="28"/>
        </w:rPr>
        <w:t xml:space="preserve">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contextualSpacing/>
        <w:jc w:val="center"/>
        <w:spacing w:line="276" w:lineRule="auto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V. Оформление результатов служебной проверки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Результаты служебной проверки оформляются комиссией в форме письменного заключения.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Днем окончания служебной проверки является дата подписания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заключения.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 письменном заключении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служебной проверки </w:t>
      </w:r>
      <w:r>
        <w:rPr>
          <w:rFonts w:ascii="Times New Roman" w:hAnsi="Times New Roman" w:cs="Times New Roman"/>
          <w:sz w:val="28"/>
          <w:szCs w:val="28"/>
        </w:rPr>
        <w:t xml:space="preserve">указываются: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проведения служебной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комиссии, проводившей служебную проверку (с указанием должностей, фамилий, имен и отчеств (при наличии) председателя и членов комиссии);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 и отчество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наличии), должность, стаж государственной службы гражданского служащего, в отношении которого (по письменному заявлению которого) проводилась служебная проверка, и время его гражданской службы в Росстате (территориальном органе Росстата),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замещаемой должности гражданской службы;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факты и обстоятельства, установленные по результатам служебной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о виновности (невиновности) гражданского служащего,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которого проведена служебная проверка, либо информация, подтверждающая (опровергающая) сведения, содержавшиеся в письменном заявлении гражданского служащего;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о применении к гражданскому служащему дисциплинарного взыскания и определение вида дисциплинарного взыскания или о неприменении к нему дисциплинарного взыскания;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мерах по устранению причин и условий, способствовавших совершению дисциплинарного проступка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</w:rPr>
        <w:t xml:space="preserve">или предложения о прекращении служебной проверки в связи с отсутствием факта нарушения служебной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предупредительно-профилактического характера.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Письменное заключение по результатам служебной проверки подписывают председатель комиссии и члены комиссии, участвовавшие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служебной проверке, </w:t>
      </w:r>
      <w:r>
        <w:rPr>
          <w:rFonts w:ascii="Times New Roman" w:hAnsi="Times New Roman" w:cs="Times New Roman"/>
          <w:color w:val="2c2d2e"/>
          <w:sz w:val="28"/>
          <w:szCs w:val="28"/>
          <w:highlight w:val="white"/>
        </w:rPr>
        <w:t xml:space="preserve">руководитель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 подразделения по вопросам государственной службы и кадров (лицо</w:t>
      </w:r>
      <w:r>
        <w:rPr>
          <w:rFonts w:ascii="Times New Roman" w:hAnsi="Times New Roman" w:cs="Times New Roman"/>
          <w:color w:val="2c2d2e"/>
          <w:sz w:val="28"/>
          <w:szCs w:val="28"/>
          <w:highlight w:val="white"/>
        </w:rPr>
        <w:t xml:space="preserve">, временно исполняющее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 его обязанности) и представляется руководителю Росстата (руководителю территориального органа Росстата) для принятия решения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2c2d2e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Председатель и члены комиссии несут ответственность </w:t>
      </w:r>
      <w:r>
        <w:rPr>
          <w:rFonts w:ascii="Times New Roman" w:hAnsi="Times New Roman" w:cs="Times New Roman"/>
          <w:sz w:val="28"/>
          <w:szCs w:val="28"/>
        </w:rPr>
        <w:br/>
        <w:t xml:space="preserve">за объективность представляемой информации, </w:t>
      </w:r>
      <w:r>
        <w:rPr>
          <w:rFonts w:ascii="Times New Roman" w:hAnsi="Times New Roman" w:cs="Times New Roman"/>
          <w:sz w:val="28"/>
          <w:szCs w:val="28"/>
        </w:rPr>
        <w:t xml:space="preserve">обоснованность</w:t>
      </w:r>
      <w:r>
        <w:rPr>
          <w:rFonts w:ascii="Times New Roman" w:hAnsi="Times New Roman" w:cs="Times New Roman"/>
          <w:sz w:val="28"/>
          <w:szCs w:val="28"/>
        </w:rPr>
        <w:t xml:space="preserve"> выводов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предложений по результатам проверки.</w:t>
      </w:r>
      <w:r>
        <w:rPr>
          <w:rFonts w:ascii="Times New Roman" w:hAnsi="Times New Roman" w:cs="Times New Roman"/>
          <w:color w:val="2c2d2e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член комиссии служебной проверки не согласен </w:t>
      </w:r>
      <w:r>
        <w:rPr>
          <w:rFonts w:ascii="Times New Roman" w:hAnsi="Times New Roman" w:cs="Times New Roman"/>
          <w:sz w:val="28"/>
          <w:szCs w:val="28"/>
        </w:rPr>
        <w:br/>
        <w:t xml:space="preserve">с выводами и (или) содержанием заключения (отдельной его части), он вправе изложить свое особое мнение в письменной форме, которое приобщается 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заключению.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комиссии (член комиссии по поручению председателя комиссии) не позднее 5 рабочих дней со дня принятого руководителем Росстата (руководителем территориальног</w:t>
      </w:r>
      <w:r>
        <w:rPr>
          <w:rFonts w:ascii="Times New Roman" w:hAnsi="Times New Roman" w:cs="Times New Roman"/>
          <w:sz w:val="28"/>
          <w:szCs w:val="28"/>
        </w:rPr>
        <w:t xml:space="preserve">о органа Росстата) соответствующего решения знакомит гражданского служащего, в отношении которого (по его письменному заявлению) проводилась служебная проверка, с заключением и другими материалами по результатам служебной проверки в части, его касающейся,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если это не противоречит требованиям неразглашения сведений, составляющих государственную и иную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храняемую федеральным законом тайну, под подпись на заключении с проставлением даты ознакомления.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указанный срок не включаются периоды временной нетрудоспособности гражданского служащего, пребывания его в отпуске, другие случаи отсутствия его на гражданской службе по уважительным причинам.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служебная проверка проводилась комиссией центрального аппарата Росстата в отношении руководителя или заместителя руководителя территориального органа Росстата, письменное заключение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с другими материалами служебной проверки не позднее пяти рабочих дней </w:t>
      </w:r>
      <w:r>
        <w:rPr>
          <w:rFonts w:ascii="Times New Roman" w:hAnsi="Times New Roman" w:cs="Times New Roman"/>
          <w:sz w:val="28"/>
          <w:szCs w:val="28"/>
        </w:rPr>
        <w:br/>
        <w:t xml:space="preserve">со дня принято</w:t>
      </w:r>
      <w:r>
        <w:rPr>
          <w:rFonts w:ascii="Times New Roman" w:hAnsi="Times New Roman" w:cs="Times New Roman"/>
          <w:sz w:val="28"/>
          <w:szCs w:val="28"/>
        </w:rPr>
        <w:t xml:space="preserve">го руководителем Росстата соответствующего решения направляются руководителю этого территориального органа для ознакомления гражданского служащего, в отношении которого проводилась служебная проверка под подпись. После ознакомления гражданского служащего,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которого проводилась служебная проверка, с письменным заключением и другими материалами служебной проверки эти документы должны быть незамедлительно возвращены в Кадровую службу Росстата.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 невозможности или в случае отказа гражданского служащего,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отношении которого проводилась служебная проверка, от ознакомления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с заключением, от подписи в заключении или от проставления даты ознакомления, составляется соответствующий акт, который приобщается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к материалам служебной проверки.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Копии приказов Росстата (территориального органа Росстата)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проведении служебной проверки, о временном отстранении гражданского служащего от замещаемой должности гражданской службы, письменное заключение приобщаются к личному делу гражданского служащего,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которого (по письменному заявлению которого) проводилась служебная проверка.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принятия руководителем Росстата (территориального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Росстата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решения о применении дисциплинарного взыскания подготовка проекта приказа Росстата (территориального органа Росстата) с указанием оснований его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осуществляется Кадровой службой Росстата (Кадровой службой 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Росстата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before="220"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применении к гражданскому служащему дисциплинарного взыскания вручается гражданскому служащему под подпись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дней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издания.</w:t>
      </w:r>
      <w:r>
        <w:rPr>
          <w:rFonts w:ascii="Times New Roman" w:hAnsi="Times New Roman" w:cs="Times New Roman"/>
          <w:sz w:val="28"/>
          <w:szCs w:val="28"/>
        </w:rPr>
        <w:t xml:space="preserve"> В указанный срок не включаются периоды временной нетрудоспособности гражданского служащего, пребывания его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отпуске, другие случаи отсутствия его на гражданской службе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уважительным причинам.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Материалы служебной проверки постранично нумеруются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и формируются в номенклатурное дело, к которому приобщаются: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приказа Росстата (территориального органа Росстата)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проведении служебной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(или их копии), содержащие сведения, послужившие основанием для проведения служебной проверки;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объяснения гражданского служащего, в отношении которого </w:t>
      </w:r>
      <w:r>
        <w:rPr>
          <w:rFonts w:ascii="Times New Roman" w:hAnsi="Times New Roman" w:cs="Times New Roman"/>
          <w:sz w:val="28"/>
          <w:szCs w:val="28"/>
        </w:rPr>
        <w:br/>
        <w:t xml:space="preserve">(по его письменному заявлению</w:t>
      </w:r>
      <w:r>
        <w:rPr>
          <w:rFonts w:ascii="Times New Roman" w:hAnsi="Times New Roman" w:cs="Times New Roman"/>
          <w:sz w:val="28"/>
          <w:szCs w:val="28"/>
        </w:rPr>
        <w:t xml:space="preserve"> которого</w:t>
      </w:r>
      <w:r>
        <w:rPr>
          <w:rFonts w:ascii="Times New Roman" w:hAnsi="Times New Roman" w:cs="Times New Roman"/>
          <w:sz w:val="28"/>
          <w:szCs w:val="28"/>
        </w:rPr>
        <w:t xml:space="preserve">) проводилась служебная проверка,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иных лиц;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/>
      <w:hyperlink w:tooltip="#P160" w:anchor="P160" w:history="1">
        <w:r>
          <w:rPr>
            <w:rFonts w:ascii="Times New Roman" w:hAnsi="Times New Roman" w:cs="Times New Roman"/>
            <w:sz w:val="28"/>
            <w:szCs w:val="28"/>
          </w:rPr>
          <w:t xml:space="preserve">акт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от дачи письменного объяснения, ознакомления с приказом о назначении служебной проверки, заключением и ее материалами, приказом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дисциплинарном взыскании (при наличии);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документы, имеющие отношение к установленным в ходе служебной проверки фактам;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заключения;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/>
        <w:ind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приказа Росстата (территориального органа Росстата)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применении дисциплинарного взыскания (при наличии).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numPr>
          <w:ilvl w:val="0"/>
          <w:numId w:val="4"/>
        </w:numPr>
        <w:contextualSpacing/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Сформированное дело хранится в Кадровой службе Росстата (Кадровой службе 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Росстата</w:t>
      </w:r>
      <w:r>
        <w:rPr>
          <w:rFonts w:ascii="Times New Roman" w:hAnsi="Times New Roman" w:cs="Times New Roman"/>
          <w:sz w:val="28"/>
          <w:szCs w:val="28"/>
        </w:rPr>
        <w:t xml:space="preserve">) в течение срока, определяемого номенклатурой дел.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540"/>
        <w:jc w:val="both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276" w:left="1701" w:header="567" w:footer="567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33"/>
        <w:jc w:val="center"/>
        <w:spacing w:line="360" w:lineRule="auto"/>
        <w:widowControl w:val="off"/>
        <w:rPr>
          <w:rFonts w:eastAsia="Arial"/>
        </w:rPr>
      </w:pPr>
      <w:r/>
      <w:bookmarkStart w:id="3" w:name="_GoBack"/>
      <w:r/>
      <w:bookmarkEnd w:id="3"/>
      <w:r>
        <w:rPr>
          <w:rFonts w:eastAsia="Arial"/>
        </w:rPr>
        <w:t xml:space="preserve">Приложение № 1</w:t>
      </w:r>
      <w:r>
        <w:rPr>
          <w:rFonts w:eastAsia="Arial"/>
        </w:rPr>
      </w:r>
    </w:p>
    <w:p>
      <w:pPr>
        <w:ind w:left="4962" w:firstLine="0"/>
        <w:jc w:val="center"/>
        <w:widowControl w:val="off"/>
        <w:rPr>
          <w:rFonts w:eastAsia="Arial"/>
        </w:rPr>
      </w:pPr>
      <w:r>
        <w:rPr>
          <w:rFonts w:eastAsia="Arial"/>
        </w:rPr>
        <w:t xml:space="preserve">к Порядку проведения служебных проверок в отношении федеральных</w:t>
      </w:r>
      <w:r>
        <w:rPr>
          <w:rFonts w:eastAsia="Arial"/>
        </w:rPr>
      </w:r>
    </w:p>
    <w:p>
      <w:pPr>
        <w:ind w:left="4962" w:firstLine="0"/>
        <w:jc w:val="center"/>
        <w:widowControl w:val="off"/>
        <w:rPr>
          <w:rFonts w:eastAsia="Arial"/>
        </w:rPr>
      </w:pPr>
      <w:r>
        <w:rPr>
          <w:rFonts w:eastAsia="Arial"/>
        </w:rPr>
        <w:t xml:space="preserve">государственных гражданских служащих Федеральной службы</w:t>
      </w:r>
      <w:r>
        <w:rPr>
          <w:rFonts w:eastAsia="Arial"/>
        </w:rPr>
      </w:r>
    </w:p>
    <w:p>
      <w:pPr>
        <w:ind w:left="4962" w:firstLine="0"/>
        <w:jc w:val="center"/>
        <w:widowControl w:val="off"/>
        <w:rPr>
          <w:rFonts w:eastAsia="Arial"/>
        </w:rPr>
      </w:pPr>
      <w:r>
        <w:rPr>
          <w:rFonts w:eastAsia="Arial"/>
        </w:rPr>
        <w:t xml:space="preserve">государственной статистики, утвержденному приказом Росстата</w:t>
      </w:r>
      <w:r>
        <w:rPr>
          <w:rFonts w:eastAsia="Arial"/>
        </w:rPr>
      </w:r>
    </w:p>
    <w:p>
      <w:pPr>
        <w:ind w:left="4962" w:firstLine="0"/>
        <w:jc w:val="center"/>
        <w:widowControl w:val="off"/>
        <w:rPr>
          <w:rFonts w:eastAsia="Arial"/>
        </w:rPr>
      </w:pPr>
      <w:r>
        <w:rPr>
          <w:rFonts w:eastAsia="Arial"/>
        </w:rPr>
        <w:t xml:space="preserve">от __</w:t>
      </w:r>
      <w:r>
        <w:rPr>
          <w:rFonts w:eastAsia="Arial"/>
        </w:rPr>
        <w:t xml:space="preserve">_._</w:t>
      </w:r>
      <w:r>
        <w:rPr>
          <w:rFonts w:eastAsia="Arial"/>
        </w:rPr>
        <w:t xml:space="preserve">___.202</w:t>
      </w:r>
      <w:r>
        <w:rPr>
          <w:rFonts w:eastAsia="Arial"/>
        </w:rPr>
        <w:t xml:space="preserve">6</w:t>
      </w:r>
      <w:r>
        <w:rPr>
          <w:rFonts w:eastAsia="Arial"/>
        </w:rPr>
        <w:t xml:space="preserve"> № ___</w:t>
      </w:r>
      <w:r>
        <w:rPr>
          <w:rFonts w:eastAsia="Arial"/>
        </w:rPr>
      </w:r>
    </w:p>
    <w:p>
      <w:pPr>
        <w:ind w:left="4962" w:firstLine="0"/>
        <w:jc w:val="center"/>
        <w:widowControl w:val="off"/>
        <w:rPr>
          <w:rFonts w:eastAsia="Arial"/>
        </w:rPr>
      </w:pPr>
      <w:r>
        <w:rPr>
          <w:rFonts w:eastAsia="Arial"/>
        </w:rPr>
      </w:r>
      <w:r>
        <w:rPr>
          <w:rFonts w:eastAsia="Arial"/>
        </w:rPr>
      </w:r>
    </w:p>
    <w:p>
      <w:pPr>
        <w:ind w:left="4962" w:firstLine="0"/>
        <w:jc w:val="center"/>
        <w:widowControl w:val="off"/>
        <w:rPr>
          <w:rFonts w:eastAsia="Arial"/>
        </w:rPr>
      </w:pPr>
      <w:r>
        <w:rPr>
          <w:rFonts w:eastAsia="Arial"/>
        </w:rPr>
        <w:t xml:space="preserve">Рекомендуемый образец</w:t>
      </w:r>
      <w:r>
        <w:rPr>
          <w:rFonts w:eastAsia="Arial"/>
        </w:rPr>
      </w:r>
    </w:p>
    <w:p>
      <w:pPr>
        <w:ind w:left="4962" w:firstLine="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962" w:firstLine="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962" w:firstLine="0"/>
        <w:jc w:val="center"/>
      </w:pPr>
      <w:r>
        <w:t xml:space="preserve">Председателю комиссии </w:t>
      </w:r>
      <w:r>
        <w:br/>
        <w:t xml:space="preserve">по проведению служебной проверки</w:t>
      </w:r>
      <w:r/>
    </w:p>
    <w:p>
      <w:pPr>
        <w:ind w:left="4962" w:firstLine="0"/>
        <w:jc w:val="center"/>
      </w:pPr>
      <w:r/>
      <w:r/>
    </w:p>
    <w:tbl>
      <w:tblPr>
        <w:tblStyle w:val="767"/>
        <w:tblW w:w="0" w:type="auto"/>
        <w:tblInd w:w="5495" w:type="dxa"/>
        <w:tblLook w:val="04A0" w:firstRow="1" w:lastRow="0" w:firstColumn="1" w:lastColumn="0" w:noHBand="0" w:noVBand="1"/>
      </w:tblPr>
      <w:tblGrid>
        <w:gridCol w:w="3397"/>
      </w:tblGrid>
      <w:tr>
        <w:trPr/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left="4962" w:firstLine="0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 и инициалы)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4" w:name="P165"/>
            <w:r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</w:pPr>
      <w:r/>
      <w:r/>
    </w:p>
    <w:p>
      <w:r/>
      <w:r/>
    </w:p>
    <w:tbl>
      <w:tblPr>
        <w:tblStyle w:val="767"/>
        <w:tblW w:w="9639" w:type="dxa"/>
        <w:tblLook w:val="04A0" w:firstRow="1" w:lastRow="0" w:firstColumn="1" w:lastColumn="0" w:noHBand="0" w:noVBand="1"/>
      </w:tblPr>
      <w:tblGrid>
        <w:gridCol w:w="1242"/>
        <w:gridCol w:w="8397"/>
      </w:tblGrid>
      <w:tr>
        <w:trPr/>
        <w:tc>
          <w:tcPr>
            <w:tcW w:w="1242" w:type="dxa"/>
            <w:textDirection w:val="lrTb"/>
            <w:noWrap w:val="false"/>
          </w:tcPr>
          <w:p>
            <w:r>
              <w:t xml:space="preserve">Я,</w:t>
            </w:r>
            <w:r/>
          </w:p>
        </w:tc>
        <w:tc>
          <w:tcPr>
            <w:tcBorders>
              <w:bottom w:val="single" w:color="auto" w:sz="4" w:space="0"/>
            </w:tcBorders>
            <w:tcW w:w="8397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24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</w:tcBorders>
            <w:tcW w:w="83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(фамилия, имя, отчество (при наличии) лица, у которого получено объяснение)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spacing w:before="120"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наименование структурного подразделения с указанием отдела (при наличии)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9639" w:type="dxa"/>
            <w:textDirection w:val="lrTb"/>
            <w:noWrap w:val="false"/>
          </w:tcPr>
          <w:p>
            <w:r>
              <w:t xml:space="preserve">В связи с проводимой служебной проверкой поясняю следующее:</w:t>
            </w:r>
            <w:r/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W w:w="963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(текст объяснения, содержание заданных вопросов, ответы на вопросы)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before="120"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ind w:firstLine="0"/>
              <w:spacing w:before="120"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spacing w:before="120"/>
            </w:pPr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767"/>
        <w:tblW w:w="9670" w:type="dxa"/>
        <w:tblLook w:val="04A0" w:firstRow="1" w:lastRow="0" w:firstColumn="1" w:lastColumn="0" w:noHBand="0" w:noVBand="1"/>
      </w:tblPr>
      <w:tblGrid>
        <w:gridCol w:w="3313"/>
        <w:gridCol w:w="284"/>
        <w:gridCol w:w="3426"/>
        <w:gridCol w:w="348"/>
        <w:gridCol w:w="2299"/>
      </w:tblGrid>
      <w:tr>
        <w:trPr/>
        <w:tc>
          <w:tcPr>
            <w:tcW w:w="3313" w:type="dxa"/>
            <w:textDirection w:val="lrTb"/>
            <w:noWrap w:val="false"/>
          </w:tcPr>
          <w:p>
            <w:pPr>
              <w:ind w:left="-113" w:firstLine="0"/>
            </w:pPr>
            <w:r>
              <w:t xml:space="preserve">«__» ____________ 20__ г.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4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4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331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42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лица, давшего объяснение)</w:t>
            </w:r>
            <w:r>
              <w:rPr>
                <w:sz w:val="20"/>
                <w:szCs w:val="20"/>
              </w:rPr>
            </w:r>
          </w:p>
        </w:tc>
        <w:tc>
          <w:tcPr>
            <w:tcW w:w="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29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(инициалы и фамилия)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jc w:val="center"/>
      </w:pPr>
      <w:r>
        <w:t xml:space="preserve">__________</w:t>
      </w:r>
      <w:r/>
    </w:p>
    <w:p>
      <w:r>
        <w:br w:type="page" w:clear="all"/>
      </w:r>
      <w:r/>
    </w:p>
    <w:p>
      <w:pPr>
        <w:pStyle w:val="921"/>
        <w:ind w:left="4933"/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проведения служебных проверок в отношении федеральных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государственных гражданских служащих Федеральной службы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статистики, утвержденному приказом Росстата от __</w:t>
      </w:r>
      <w:r>
        <w:rPr>
          <w:rFonts w:ascii="Times New Roman" w:hAnsi="Times New Roman" w:cs="Times New Roman"/>
          <w:sz w:val="28"/>
          <w:szCs w:val="28"/>
        </w:rPr>
        <w:t xml:space="preserve">_._</w:t>
      </w:r>
      <w:r>
        <w:rPr>
          <w:rFonts w:ascii="Times New Roman" w:hAnsi="Times New Roman" w:cs="Times New Roman"/>
          <w:sz w:val="28"/>
          <w:szCs w:val="28"/>
        </w:rPr>
        <w:t xml:space="preserve">__.202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образец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/>
      <w:bookmarkStart w:id="5" w:name="P160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АКТ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нижеподписавшиеся, составили настоящий акт о том, что федеральный государственный гражданский служащий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67"/>
        <w:tblW w:w="9663" w:type="dxa"/>
        <w:tblLayout w:type="fixed"/>
        <w:tblLook w:val="04A0" w:firstRow="1" w:lastRow="0" w:firstColumn="1" w:lastColumn="0" w:noHBand="0" w:noVBand="1"/>
      </w:tblPr>
      <w:tblGrid>
        <w:gridCol w:w="3177"/>
        <w:gridCol w:w="6486"/>
      </w:tblGrid>
      <w:tr>
        <w:trPr/>
        <w:tc>
          <w:tcPr>
            <w:gridSpan w:val="2"/>
            <w:tcBorders>
              <w:bottom w:val="single" w:color="auto" w:sz="4" w:space="0"/>
            </w:tcBorders>
            <w:tcW w:w="9663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9663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(должность, фамилия, имя, отчество (при наличии)</w:t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W w:w="9663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9663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(отказался от дачи письменного объяснения, ознакомления с приказом о назначении служебной проверки, заключением по результатам служебной проверки и ее материалами, приказом о дисциплинарном взыскании)</w:t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</w:tr>
      <w:tr>
        <w:trPr/>
        <w:tc>
          <w:tcPr>
            <w:tcW w:w="3177" w:type="dxa"/>
            <w:textDirection w:val="lrTb"/>
            <w:noWrap w:val="false"/>
          </w:tcPr>
          <w:p>
            <w:pPr>
              <w:pStyle w:val="922"/>
              <w:spacing w:before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мотивировав свой отказ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486" w:type="dxa"/>
            <w:textDirection w:val="lrTb"/>
            <w:noWrap w:val="false"/>
          </w:tcPr>
          <w:p>
            <w:pPr>
              <w:pStyle w:val="922"/>
              <w:jc w:val="center"/>
              <w:spacing w:before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rPr/>
        <w:tc>
          <w:tcPr>
            <w:tcW w:w="3177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6486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(указываются мотивы отказа либо делается запись</w:t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W w:w="9663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9663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«ничем свой отказ не мотивировал»)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W w:w="9663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9663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pStyle w:val="92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767"/>
        <w:tblW w:w="9643" w:type="dxa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1914"/>
        <w:gridCol w:w="567"/>
        <w:gridCol w:w="2659"/>
      </w:tblGrid>
      <w:tr>
        <w:trPr/>
        <w:tc>
          <w:tcPr>
            <w:tcW w:w="3936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659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2659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(инициалы и фамилия)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659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2659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(инициалы и фамилия)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659" w:type="dxa"/>
            <w:textDirection w:val="lrTb"/>
            <w:noWrap w:val="false"/>
          </w:tcPr>
          <w:p>
            <w:pPr>
              <w:pStyle w:val="922"/>
              <w:jc w:val="center"/>
              <w:spacing w:befor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914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2659" w:type="dxa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(инициалы и фамилия)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67"/>
        <w:tblW w:w="9606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3936"/>
      </w:tblGrid>
      <w:tr>
        <w:trPr>
          <w:trHeight w:val="453"/>
        </w:trPr>
        <w:tc>
          <w:tcPr>
            <w:tcW w:w="3969" w:type="dxa"/>
            <w:textDirection w:val="lrTb"/>
            <w:noWrap w:val="false"/>
          </w:tcPr>
          <w:p>
            <w:pPr>
              <w:ind w:firstLine="37"/>
            </w:pPr>
            <w:r>
              <w:rPr>
                <w:rFonts w:eastAsiaTheme="minorEastAsia"/>
              </w:rPr>
              <w:t xml:space="preserve">«__» ____________ 20__ г.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36" w:type="dxa"/>
            <w:textDirection w:val="lrTb"/>
            <w:noWrap w:val="false"/>
          </w:tcPr>
          <w:p>
            <w:pPr>
              <w:pStyle w:val="9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pPr>
        <w:jc w:val="center"/>
      </w:pPr>
      <w:r>
        <w:t xml:space="preserve">___________</w:t>
      </w:r>
      <w:r/>
    </w:p>
    <w:p>
      <w:r/>
      <w:r/>
    </w:p>
    <w:p>
      <w:pPr>
        <w:pStyle w:val="921"/>
        <w:ind w:left="4933"/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проведения служебных проверок в отношении федеральных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государственных гражданских служащих Федеральной службы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статистики, утвержденному приказом Росстата от __</w:t>
      </w:r>
      <w:r>
        <w:rPr>
          <w:rFonts w:ascii="Times New Roman" w:hAnsi="Times New Roman" w:cs="Times New Roman"/>
          <w:sz w:val="28"/>
          <w:szCs w:val="28"/>
        </w:rPr>
        <w:t xml:space="preserve">_._</w:t>
      </w:r>
      <w:r>
        <w:rPr>
          <w:rFonts w:ascii="Times New Roman" w:hAnsi="Times New Roman" w:cs="Times New Roman"/>
          <w:sz w:val="28"/>
          <w:szCs w:val="28"/>
        </w:rPr>
        <w:t xml:space="preserve">__.202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образец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left="49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6" w:name="P256"/>
            <w:r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1"/>
        <w:gridCol w:w="8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vAlign w:val="bottom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540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1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40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даю согласие, что в ходе проведения служебной проверки и получения объяснений может применяться аудио- или видеозапись.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(подпись, инициалы и фамилия)</w:t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(должность, подпись, инициалы и фамилия должностного лица, производившего аудио- или видеозапись)</w:t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 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</w:pPr>
      <w:r>
        <w:t xml:space="preserve">___________</w:t>
      </w:r>
      <w:r/>
    </w:p>
    <w:p>
      <w:pPr>
        <w:pStyle w:val="9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276" w:left="1701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  <w:pPr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696">
    <w:name w:val="Heading 1"/>
    <w:basedOn w:val="695"/>
    <w:next w:val="695"/>
    <w:link w:val="7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5"/>
    <w:uiPriority w:val="10"/>
    <w:rPr>
      <w:sz w:val="48"/>
      <w:szCs w:val="48"/>
    </w:rPr>
  </w:style>
  <w:style w:type="character" w:styleId="718" w:customStyle="1">
    <w:name w:val="Subtitle Char"/>
    <w:basedOn w:val="705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table" w:styleId="721">
    <w:name w:val="Plain Table 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5 Dark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>
    <w:name w:val="Grid Table 7 Colorful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5 Dark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8">
    <w:name w:val="List Table 6 Colorful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9">
    <w:name w:val="List Table 7 Colorful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0" w:customStyle="1">
    <w:name w:val="Footnote Text Char"/>
    <w:uiPriority w:val="99"/>
    <w:rPr>
      <w:sz w:val="18"/>
    </w:rPr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Заголовок 1 Знак"/>
    <w:link w:val="696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link w:val="697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link w:val="698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695"/>
    <w:uiPriority w:val="34"/>
    <w:qFormat/>
    <w:pPr>
      <w:contextualSpacing/>
      <w:ind w:left="720"/>
    </w:pPr>
  </w:style>
  <w:style w:type="paragraph" w:styleId="752">
    <w:name w:val="No Spacing"/>
    <w:uiPriority w:val="1"/>
    <w:qFormat/>
  </w:style>
  <w:style w:type="paragraph" w:styleId="753">
    <w:name w:val="Title"/>
    <w:basedOn w:val="695"/>
    <w:next w:val="695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Заголовок Знак"/>
    <w:link w:val="753"/>
    <w:uiPriority w:val="10"/>
    <w:rPr>
      <w:sz w:val="48"/>
      <w:szCs w:val="48"/>
    </w:rPr>
  </w:style>
  <w:style w:type="paragraph" w:styleId="755">
    <w:name w:val="Subtitle"/>
    <w:basedOn w:val="695"/>
    <w:next w:val="695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link w:val="755"/>
    <w:uiPriority w:val="11"/>
    <w:rPr>
      <w:sz w:val="24"/>
      <w:szCs w:val="24"/>
    </w:rPr>
  </w:style>
  <w:style w:type="paragraph" w:styleId="757">
    <w:name w:val="Quote"/>
    <w:basedOn w:val="695"/>
    <w:next w:val="695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695"/>
    <w:next w:val="695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paragraph" w:styleId="761">
    <w:name w:val="Header"/>
    <w:basedOn w:val="695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2" w:customStyle="1">
    <w:name w:val="Header Char"/>
    <w:uiPriority w:val="99"/>
  </w:style>
  <w:style w:type="paragraph" w:styleId="763">
    <w:name w:val="Footer"/>
    <w:basedOn w:val="695"/>
    <w:link w:val="9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4" w:customStyle="1">
    <w:name w:val="Footer Char"/>
    <w:uiPriority w:val="99"/>
  </w:style>
  <w:style w:type="paragraph" w:styleId="765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 w:customStyle="1">
    <w:name w:val="Caption Char"/>
    <w:uiPriority w:val="99"/>
  </w:style>
  <w:style w:type="table" w:styleId="767">
    <w:name w:val="Table Grid"/>
    <w:basedOn w:val="706"/>
    <w:uiPriority w:val="59"/>
    <w:tblPr/>
  </w:style>
  <w:style w:type="table" w:styleId="76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2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9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7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5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3">
    <w:name w:val="Hyperlink"/>
    <w:uiPriority w:val="99"/>
    <w:semiHidden/>
    <w:unhideWhenUsed/>
    <w:rPr>
      <w:color w:val="0000ff"/>
      <w:u w:val="single"/>
    </w:rPr>
  </w:style>
  <w:style w:type="paragraph" w:styleId="894">
    <w:name w:val="footnote text"/>
    <w:basedOn w:val="695"/>
    <w:link w:val="895"/>
    <w:uiPriority w:val="99"/>
    <w:semiHidden/>
    <w:unhideWhenUsed/>
    <w:pPr>
      <w:spacing w:after="40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695"/>
    <w:link w:val="898"/>
    <w:uiPriority w:val="99"/>
    <w:semiHidden/>
    <w:unhideWhenUsed/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695"/>
    <w:next w:val="695"/>
    <w:uiPriority w:val="39"/>
    <w:unhideWhenUsed/>
    <w:pPr>
      <w:ind w:firstLine="0"/>
      <w:spacing w:after="57"/>
    </w:pPr>
  </w:style>
  <w:style w:type="paragraph" w:styleId="901">
    <w:name w:val="toc 2"/>
    <w:basedOn w:val="695"/>
    <w:next w:val="695"/>
    <w:uiPriority w:val="39"/>
    <w:unhideWhenUsed/>
    <w:pPr>
      <w:ind w:left="283" w:firstLine="0"/>
      <w:spacing w:after="57"/>
    </w:pPr>
  </w:style>
  <w:style w:type="paragraph" w:styleId="902">
    <w:name w:val="toc 3"/>
    <w:basedOn w:val="695"/>
    <w:next w:val="695"/>
    <w:uiPriority w:val="39"/>
    <w:unhideWhenUsed/>
    <w:pPr>
      <w:ind w:left="567" w:firstLine="0"/>
      <w:spacing w:after="57"/>
    </w:pPr>
  </w:style>
  <w:style w:type="paragraph" w:styleId="903">
    <w:name w:val="toc 4"/>
    <w:basedOn w:val="695"/>
    <w:next w:val="695"/>
    <w:uiPriority w:val="39"/>
    <w:unhideWhenUsed/>
    <w:pPr>
      <w:ind w:left="850" w:firstLine="0"/>
      <w:spacing w:after="57"/>
    </w:pPr>
  </w:style>
  <w:style w:type="paragraph" w:styleId="904">
    <w:name w:val="toc 5"/>
    <w:basedOn w:val="695"/>
    <w:next w:val="695"/>
    <w:uiPriority w:val="39"/>
    <w:unhideWhenUsed/>
    <w:pPr>
      <w:ind w:left="1134" w:firstLine="0"/>
      <w:spacing w:after="57"/>
    </w:pPr>
  </w:style>
  <w:style w:type="paragraph" w:styleId="905">
    <w:name w:val="toc 6"/>
    <w:basedOn w:val="695"/>
    <w:next w:val="695"/>
    <w:uiPriority w:val="39"/>
    <w:unhideWhenUsed/>
    <w:pPr>
      <w:ind w:left="1417" w:firstLine="0"/>
      <w:spacing w:after="57"/>
    </w:pPr>
  </w:style>
  <w:style w:type="paragraph" w:styleId="906">
    <w:name w:val="toc 7"/>
    <w:basedOn w:val="695"/>
    <w:next w:val="695"/>
    <w:uiPriority w:val="39"/>
    <w:unhideWhenUsed/>
    <w:pPr>
      <w:ind w:left="1701" w:firstLine="0"/>
      <w:spacing w:after="57"/>
    </w:pPr>
  </w:style>
  <w:style w:type="paragraph" w:styleId="907">
    <w:name w:val="toc 8"/>
    <w:basedOn w:val="695"/>
    <w:next w:val="695"/>
    <w:uiPriority w:val="39"/>
    <w:unhideWhenUsed/>
    <w:pPr>
      <w:ind w:left="1984" w:firstLine="0"/>
      <w:spacing w:after="57"/>
    </w:pPr>
  </w:style>
  <w:style w:type="paragraph" w:styleId="908">
    <w:name w:val="toc 9"/>
    <w:basedOn w:val="695"/>
    <w:next w:val="695"/>
    <w:uiPriority w:val="39"/>
    <w:unhideWhenUsed/>
    <w:pPr>
      <w:ind w:left="2268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695"/>
    <w:next w:val="695"/>
    <w:uiPriority w:val="99"/>
    <w:unhideWhenUsed/>
  </w:style>
  <w:style w:type="paragraph" w:styleId="911" w:customStyle="1">
    <w:name w:val="Обычный2"/>
    <w:uiPriority w:val="99"/>
    <w:pPr>
      <w:jc w:val="center"/>
      <w:spacing w:line="278" w:lineRule="auto"/>
      <w:widowControl w:val="off"/>
    </w:pPr>
    <w:rPr>
      <w:rFonts w:ascii="Times New Roman" w:hAnsi="Times New Roman" w:eastAsia="Times New Roman"/>
      <w:b/>
      <w:lang w:eastAsia="ru-RU"/>
    </w:rPr>
  </w:style>
  <w:style w:type="paragraph" w:styleId="912" w:customStyle="1">
    <w:name w:val="Обычный5"/>
    <w:uiPriority w:val="99"/>
    <w:pPr>
      <w:jc w:val="center"/>
      <w:spacing w:line="278" w:lineRule="auto"/>
      <w:widowControl w:val="off"/>
    </w:pPr>
    <w:rPr>
      <w:rFonts w:ascii="Times New Roman" w:hAnsi="Times New Roman" w:eastAsia="Times New Roman"/>
      <w:b/>
      <w:lang w:eastAsia="ru-RU"/>
    </w:rPr>
  </w:style>
  <w:style w:type="paragraph" w:styleId="913">
    <w:name w:val="Balloon Text"/>
    <w:basedOn w:val="695"/>
    <w:link w:val="914"/>
    <w:uiPriority w:val="99"/>
    <w:semiHidden/>
    <w:unhideWhenUsed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link w:val="91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5">
    <w:name w:val="Placeholder Text"/>
    <w:uiPriority w:val="99"/>
    <w:semiHidden/>
    <w:rPr>
      <w:color w:val="808080"/>
    </w:rPr>
  </w:style>
  <w:style w:type="character" w:styleId="916" w:customStyle="1">
    <w:name w:val="Верхний колонтитул Знак"/>
    <w:link w:val="76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17" w:customStyle="1">
    <w:name w:val="Нижний колонтитул Знак"/>
    <w:link w:val="76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8" w:customStyle="1">
    <w:name w:val="Стиль"/>
    <w:pPr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ConsPlusTitle"/>
    <w:pPr>
      <w:widowControl w:val="off"/>
    </w:pPr>
    <w:rPr>
      <w:rFonts w:cs="Calibri" w:eastAsiaTheme="minorEastAsia"/>
      <w:b/>
      <w:sz w:val="22"/>
      <w:szCs w:val="22"/>
      <w:lang w:eastAsia="ru-RU"/>
    </w:rPr>
  </w:style>
  <w:style w:type="paragraph" w:styleId="920">
    <w:name w:val="Revision"/>
    <w:hidden/>
    <w:uiPriority w:val="99"/>
    <w:semiHidden/>
    <w:rPr>
      <w:rFonts w:ascii="Times New Roman" w:hAnsi="Times New Roman" w:eastAsia="Times New Roman"/>
      <w:sz w:val="28"/>
      <w:szCs w:val="28"/>
      <w:lang w:eastAsia="ru-RU"/>
    </w:rPr>
  </w:style>
  <w:style w:type="paragraph" w:styleId="921" w:customStyle="1">
    <w:name w:val="ConsPlusNormal"/>
    <w:pPr>
      <w:widowControl w:val="off"/>
    </w:pPr>
    <w:rPr>
      <w:rFonts w:cs="Calibri" w:eastAsiaTheme="minorEastAsia"/>
      <w:sz w:val="22"/>
      <w:szCs w:val="22"/>
      <w:lang w:eastAsia="ru-RU"/>
    </w:rPr>
  </w:style>
  <w:style w:type="paragraph" w:styleId="922" w:customStyle="1">
    <w:name w:val="ConsPlusNonformat"/>
    <w:pPr>
      <w:widowControl w:val="off"/>
    </w:pPr>
    <w:rPr>
      <w:rFonts w:ascii="Courier New" w:hAnsi="Courier New" w:cs="Courier New" w:eastAsiaTheme="minorEastAsia"/>
      <w:szCs w:val="22"/>
      <w:lang w:eastAsia="ru-RU"/>
    </w:rPr>
  </w:style>
  <w:style w:type="paragraph" w:styleId="923" w:customStyle="1">
    <w:name w:val="Основной текст 21"/>
    <w:basedOn w:val="695"/>
    <w:pPr>
      <w:ind w:firstLine="708"/>
    </w:pPr>
    <w:rPr>
      <w:szCs w:val="20"/>
    </w:rPr>
  </w:style>
  <w:style w:type="character" w:styleId="924">
    <w:name w:val="annotation reference"/>
    <w:basedOn w:val="705"/>
    <w:uiPriority w:val="99"/>
    <w:semiHidden/>
    <w:unhideWhenUsed/>
    <w:rPr>
      <w:sz w:val="16"/>
      <w:szCs w:val="16"/>
    </w:rPr>
  </w:style>
  <w:style w:type="paragraph" w:styleId="925">
    <w:name w:val="annotation text"/>
    <w:basedOn w:val="695"/>
    <w:link w:val="926"/>
    <w:uiPriority w:val="99"/>
    <w:semiHidden/>
    <w:unhideWhenUsed/>
    <w:pPr>
      <w:ind w:firstLine="0"/>
      <w:jc w:val="left"/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26" w:customStyle="1">
    <w:name w:val="Текст примечания Знак"/>
    <w:basedOn w:val="705"/>
    <w:link w:val="925"/>
    <w:uiPriority w:val="99"/>
    <w:semiHidden/>
    <w:rPr>
      <w:rFonts w:asciiTheme="minorHAnsi" w:hAnsiTheme="minorHAnsi" w:eastAsiaTheme="minorHAnsi" w:cstheme="minorBid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Rosstat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Виктория Валерьевна</dc:creator>
  <cp:keywords/>
  <dc:description/>
  <cp:lastModifiedBy>Маркин Максим Вячеславович, Консультант, отдел нормотворческой работы, УПРАВЛЕНИЕ ПРАВОВОГО ОБЕСПЕЧЕНИЯ, Росстат</cp:lastModifiedBy>
  <cp:revision>5</cp:revision>
  <dcterms:created xsi:type="dcterms:W3CDTF">2026-04-09T12:40:00Z</dcterms:created>
  <dcterms:modified xsi:type="dcterms:W3CDTF">2026-05-06T07:52:42Z</dcterms:modified>
  <cp:version>1048576</cp:version>
</cp:coreProperties>
</file>