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/>
    </w:p>
    <w:p>
      <w:pPr>
        <w:pStyle w:val="90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приказа Федеральной пробирной палаты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приказ Федеральной пробирной палаты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spacing w:after="0" w:afterAutospacing="0" w:line="240" w:lineRule="auto"/>
        <w:rPr>
          <w:rFonts w:ascii="Times New Roman" w:hAnsi="Times New Roman"/>
          <w:b/>
          <w:bCs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24 декабря 2020 г. № 180н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утверждении Служебного распорядка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центрального аппарата Федеральной пробирной палаты»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 приказа Федеральной пробирной палаты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внесении изменений в приказ Федеральной пробирной палаты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24 декабря 2020 г. № 180н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 утверждении Служебного распорядка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центрального аппарата Федеральной пробирной палаты»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(далее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соответственно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– проект приказа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приказ № 180н, Служебный распорядок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 разработа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b w:val="0"/>
          <w:sz w:val="28"/>
          <w:highlight w:val="none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статьей 189 Трудового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частью 3 статьи 56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  <w:br/>
        <w:t xml:space="preserve">от 27 июля 2004 г. № 79-ФЗ «О государственной гражданской службе Российской Федерации» (далее – Федеральный закон)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целях приведения нормативного правового акта Федеральной пробирной палаты в соответствие с требованиями Методических указаний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юридико-техническому оформлению нормативных правовых актов федеральных органов исполнительной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утвержденных приказом Министерства юстиции Российской Федерации от 30 августа 2023 г. № 222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а также в целях реализации права федеральных государственных гражданских служащих и работников, замещающих должности,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являющиеся должностями федеральной государственной гражданской службы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(далее соответственно – гражданские служащие,  работники)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центрального аппарата Федеральной пробирной палаты на дистанционный (удаленный) труд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Проектом приказа предлагается пункт 2 приказа № 180н признать утратившим силу как носящий исключительно внутриведомственный организационный характер, актуализировать пункт 3 указанного приказа, </w:t>
        <w:br/>
        <w:t xml:space="preserve">а также дополнить Служебный распорядок новым пунктом 10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, предусматривающим возможность установления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дистанционного (удаленного) режима службы (работы)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 в центральном аппарате Федеральной пробирной палаты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 соответствии с главой 49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Трудового кодекса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Непосредственно Федеральный закон не содержит положений, определяющих особенности дистанционной (удаленной) служебной деятельности гражданских служащих, вследствие чего применение норм трудового права обусловлено статьей 73 Федерального закона.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результатам проведенного анализа зарегистрированных Минюстом России ведомственных нормативных правовых актов, утверждающих служебные распорядки соответствующих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федеральных органов исполнительной власти, установлено, что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федеральные министерства и ведомства активно используют возможность установления дистанционного (удаленного) режима службы (работы).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Концепция проекта приказа согласуется 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принципами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стандартами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клиентоцентричности.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проекте приказа отсутствуют обязательные требования,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вления лицензий и иных разрешений, аккредитации, оценки соответствия продукции, иных форм оценки и экспертизы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Проект приказа соответствует положениям Договора о Евразийском экономическом союзе, а также иным международным договорам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62"/>
        <w:ind w:firstLine="709"/>
        <w:jc w:val="both"/>
        <w:spacing w:after="0" w:line="348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Издание и реализация проекта приказа не потребуют дополнительного финансирования из бюджетов бюджетной системы Российской Федерации, </w:t>
        <w:br/>
        <w:t xml:space="preserve">а также не окажут негативного влияния на цели государственных программ Российской Федерации.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850" w:right="850" w:bottom="850" w:left="1417" w:header="708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PT Sans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center"/>
      <w:rPr>
        <w:rFonts w:ascii="Times New Roman" w:hAnsi="Times New Roman" w:eastAsia="Times New Roman" w:cs="Times New Roman"/>
        <w:sz w:val="22"/>
      </w:rPr>
    </w:pPr>
    <w:r>
      <w:fldChar w:fldCharType="begin"/>
    </w:r>
    <w:r>
      <w:instrText xml:space="preserve"> PAGE </w:instrText>
    </w:r>
    <w:r>
      <w:rPr>
        <w:rFonts w:ascii="Times New Roman" w:hAnsi="Times New Roman" w:eastAsia="Times New Roman" w:cs="Times New Roman"/>
        <w:sz w:val="24"/>
        <w:szCs w:val="24"/>
      </w:rPr>
      <w:fldChar w:fldCharType="separate"/>
    </w:r>
    <w:r>
      <w:rPr>
        <w:rFonts w:ascii="Times New Roman" w:hAnsi="Times New Roman" w:eastAsia="Times New Roman" w:cs="Times New Roman"/>
        <w:sz w:val="22"/>
      </w:rPr>
      <w:t xml:space="preserve">2</w:t>
    </w:r>
    <w:r>
      <w:rPr>
        <w:rFonts w:ascii="Times New Roman" w:hAnsi="Times New Roman" w:eastAsia="Times New Roman" w:cs="Times New Roman"/>
        <w:sz w:val="22"/>
      </w:rPr>
      <w:fldChar w:fldCharType="end"/>
    </w:r>
    <w:r>
      <w:rPr>
        <w:rFonts w:ascii="Times New Roman" w:hAnsi="Times New Roman" w:eastAsia="Times New Roman" w:cs="Times New Roman"/>
        <w:sz w:val="22"/>
      </w:rPr>
    </w:r>
    <w:r>
      <w:rPr>
        <w:rFonts w:ascii="Times New Roman" w:hAnsi="Times New Roman" w:eastAsia="Times New Roman" w:cs="Times New Roman"/>
        <w:sz w:val="2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pPr>
      <w:spacing w:after="200" w:line="276" w:lineRule="auto"/>
    </w:pPr>
    <w:rPr>
      <w:rFonts w:ascii="Calibri" w:hAnsi="Calibri" w:eastAsia="Calibri"/>
      <w:sz w:val="22"/>
      <w:szCs w:val="22"/>
      <w:lang w:val="ru-RU" w:eastAsia="zh-CN" w:bidi="ar-SA"/>
    </w:rPr>
  </w:style>
  <w:style w:type="character" w:styleId="863">
    <w:name w:val="Основной шрифт абзаца"/>
    <w:next w:val="863"/>
    <w:link w:val="862"/>
  </w:style>
  <w:style w:type="table" w:styleId="864">
    <w:name w:val="Обычная таблица"/>
    <w:next w:val="864"/>
    <w:link w:val="862"/>
    <w:semiHidden/>
    <w:tblPr/>
  </w:style>
  <w:style w:type="numbering" w:styleId="865">
    <w:name w:val="Нет списка"/>
    <w:next w:val="865"/>
    <w:link w:val="862"/>
    <w:semiHidden/>
  </w:style>
  <w:style w:type="character" w:styleId="866">
    <w:name w:val="WW8Num1z0"/>
    <w:next w:val="866"/>
    <w:link w:val="862"/>
  </w:style>
  <w:style w:type="character" w:styleId="867">
    <w:name w:val="WW8Num1z1"/>
    <w:next w:val="867"/>
    <w:link w:val="862"/>
  </w:style>
  <w:style w:type="character" w:styleId="868">
    <w:name w:val="WW8Num1z2"/>
    <w:next w:val="868"/>
    <w:link w:val="862"/>
  </w:style>
  <w:style w:type="character" w:styleId="869">
    <w:name w:val="WW8Num1z3"/>
    <w:next w:val="869"/>
    <w:link w:val="862"/>
  </w:style>
  <w:style w:type="character" w:styleId="870">
    <w:name w:val="WW8Num1z4"/>
    <w:next w:val="870"/>
    <w:link w:val="862"/>
  </w:style>
  <w:style w:type="character" w:styleId="871">
    <w:name w:val="WW8Num1z5"/>
    <w:next w:val="871"/>
    <w:link w:val="862"/>
  </w:style>
  <w:style w:type="character" w:styleId="872">
    <w:name w:val="WW8Num1z6"/>
    <w:next w:val="872"/>
    <w:link w:val="862"/>
  </w:style>
  <w:style w:type="character" w:styleId="873">
    <w:name w:val="WW8Num1z7"/>
    <w:next w:val="873"/>
    <w:link w:val="862"/>
  </w:style>
  <w:style w:type="character" w:styleId="874">
    <w:name w:val="WW8Num1z8"/>
    <w:next w:val="874"/>
    <w:link w:val="862"/>
  </w:style>
  <w:style w:type="character" w:styleId="875">
    <w:name w:val="WW8Num2z0"/>
    <w:next w:val="875"/>
    <w:link w:val="862"/>
  </w:style>
  <w:style w:type="character" w:styleId="876">
    <w:name w:val="WW8Num2z1"/>
    <w:next w:val="876"/>
    <w:link w:val="862"/>
  </w:style>
  <w:style w:type="character" w:styleId="877">
    <w:name w:val="WW8Num2z2"/>
    <w:next w:val="877"/>
    <w:link w:val="862"/>
  </w:style>
  <w:style w:type="character" w:styleId="878">
    <w:name w:val="WW8Num2z3"/>
    <w:next w:val="878"/>
    <w:link w:val="862"/>
  </w:style>
  <w:style w:type="character" w:styleId="879">
    <w:name w:val="WW8Num2z4"/>
    <w:next w:val="879"/>
    <w:link w:val="862"/>
  </w:style>
  <w:style w:type="character" w:styleId="880">
    <w:name w:val="WW8Num2z5"/>
    <w:next w:val="880"/>
    <w:link w:val="862"/>
  </w:style>
  <w:style w:type="character" w:styleId="881">
    <w:name w:val="WW8Num2z6"/>
    <w:next w:val="881"/>
    <w:link w:val="862"/>
  </w:style>
  <w:style w:type="character" w:styleId="882">
    <w:name w:val="WW8Num2z7"/>
    <w:next w:val="882"/>
    <w:link w:val="862"/>
  </w:style>
  <w:style w:type="character" w:styleId="883">
    <w:name w:val="WW8Num2z8"/>
    <w:next w:val="883"/>
    <w:link w:val="862"/>
  </w:style>
  <w:style w:type="character" w:styleId="884">
    <w:name w:val="Основной шрифт абзаца1"/>
    <w:next w:val="884"/>
    <w:link w:val="862"/>
  </w:style>
  <w:style w:type="character" w:styleId="885">
    <w:name w:val="Верхний колонтитул Знак"/>
    <w:next w:val="885"/>
    <w:link w:val="862"/>
    <w:rPr>
      <w:sz w:val="22"/>
      <w:szCs w:val="22"/>
    </w:rPr>
  </w:style>
  <w:style w:type="character" w:styleId="886">
    <w:name w:val="Нижний колонтитул Знак"/>
    <w:next w:val="886"/>
    <w:link w:val="862"/>
    <w:rPr>
      <w:sz w:val="22"/>
      <w:szCs w:val="22"/>
    </w:rPr>
  </w:style>
  <w:style w:type="paragraph" w:styleId="887">
    <w:name w:val="Заголовок"/>
    <w:basedOn w:val="862"/>
    <w:next w:val="888"/>
    <w:link w:val="862"/>
    <w:pPr>
      <w:keepNext/>
      <w:spacing w:before="240" w:after="120"/>
    </w:pPr>
    <w:rPr>
      <w:rFonts w:ascii="PT Sans" w:hAnsi="PT Sans" w:eastAsia="Tahoma"/>
      <w:sz w:val="28"/>
      <w:szCs w:val="28"/>
    </w:rPr>
  </w:style>
  <w:style w:type="paragraph" w:styleId="888">
    <w:name w:val="Основной текст"/>
    <w:basedOn w:val="862"/>
    <w:next w:val="888"/>
    <w:link w:val="862"/>
    <w:pPr>
      <w:spacing w:before="0" w:after="140" w:line="276" w:lineRule="auto"/>
    </w:pPr>
  </w:style>
  <w:style w:type="paragraph" w:styleId="889">
    <w:name w:val="Список"/>
    <w:basedOn w:val="888"/>
    <w:next w:val="889"/>
    <w:link w:val="862"/>
    <w:rPr>
      <w:rFonts w:ascii="PT Sans" w:hAnsi="PT Sans"/>
    </w:rPr>
  </w:style>
  <w:style w:type="paragraph" w:styleId="890">
    <w:name w:val="Название объекта"/>
    <w:basedOn w:val="862"/>
    <w:next w:val="890"/>
    <w:link w:val="862"/>
    <w:pPr>
      <w:spacing w:before="120" w:after="120"/>
      <w:suppressLineNumbers/>
    </w:pPr>
    <w:rPr>
      <w:rFonts w:ascii="PT Sans" w:hAnsi="PT Sans"/>
      <w:i/>
      <w:iCs/>
      <w:sz w:val="24"/>
      <w:szCs w:val="24"/>
    </w:rPr>
  </w:style>
  <w:style w:type="paragraph" w:styleId="891">
    <w:name w:val="Указатель1"/>
    <w:basedOn w:val="862"/>
    <w:next w:val="891"/>
    <w:link w:val="862"/>
    <w:pPr>
      <w:suppressLineNumbers/>
    </w:pPr>
    <w:rPr>
      <w:rFonts w:ascii="PT Sans" w:hAnsi="PT Sans"/>
    </w:rPr>
  </w:style>
  <w:style w:type="paragraph" w:styleId="892">
    <w:name w:val="Standard"/>
    <w:next w:val="892"/>
    <w:link w:val="862"/>
    <w:rPr>
      <w:rFonts w:ascii="PT Sans" w:hAnsi="PT Sans" w:eastAsia="Tahoma"/>
      <w:sz w:val="24"/>
      <w:szCs w:val="24"/>
      <w:lang w:val="ru-RU" w:eastAsia="zh-CN" w:bidi="hi-IN"/>
    </w:rPr>
  </w:style>
  <w:style w:type="paragraph" w:styleId="893">
    <w:name w:val="ConsPlusNormal"/>
    <w:next w:val="893"/>
    <w:link w:val="862"/>
    <w:pPr>
      <w:widowControl w:val="off"/>
    </w:pPr>
    <w:rPr>
      <w:rFonts w:ascii="Calibri" w:hAnsi="Calibri"/>
      <w:sz w:val="22"/>
      <w:lang w:val="ru-RU" w:eastAsia="zh-CN" w:bidi="ar-SA"/>
    </w:rPr>
  </w:style>
  <w:style w:type="paragraph" w:styleId="894">
    <w:name w:val="Верхний колонтитул"/>
    <w:basedOn w:val="862"/>
    <w:next w:val="894"/>
    <w:link w:val="862"/>
    <w:pPr>
      <w:tabs>
        <w:tab w:val="center" w:pos="4677" w:leader="none"/>
        <w:tab w:val="right" w:pos="9355" w:leader="none"/>
      </w:tabs>
    </w:pPr>
  </w:style>
  <w:style w:type="paragraph" w:styleId="895">
    <w:name w:val="Нижний колонтитул"/>
    <w:basedOn w:val="862"/>
    <w:next w:val="895"/>
    <w:link w:val="862"/>
    <w:pPr>
      <w:tabs>
        <w:tab w:val="center" w:pos="4677" w:leader="none"/>
        <w:tab w:val="right" w:pos="9355" w:leader="none"/>
      </w:tabs>
    </w:pPr>
  </w:style>
  <w:style w:type="paragraph" w:styleId="896">
    <w:name w:val="Рецензия"/>
    <w:next w:val="896"/>
    <w:link w:val="862"/>
    <w:hidden/>
    <w:semiHidden/>
    <w:rPr>
      <w:rFonts w:ascii="Calibri" w:hAnsi="Calibri" w:eastAsia="Calibri"/>
      <w:sz w:val="22"/>
      <w:szCs w:val="22"/>
      <w:lang w:val="ru-RU" w:eastAsia="zh-CN" w:bidi="ar-SA"/>
    </w:rPr>
  </w:style>
  <w:style w:type="character" w:styleId="897">
    <w:name w:val="Знак примечания"/>
    <w:next w:val="897"/>
    <w:link w:val="862"/>
    <w:semiHidden/>
    <w:rPr>
      <w:sz w:val="16"/>
      <w:szCs w:val="16"/>
    </w:rPr>
  </w:style>
  <w:style w:type="paragraph" w:styleId="898">
    <w:name w:val="Текст примечания"/>
    <w:basedOn w:val="862"/>
    <w:next w:val="898"/>
    <w:link w:val="899"/>
    <w:semiHidden/>
    <w:rPr>
      <w:sz w:val="20"/>
      <w:szCs w:val="20"/>
    </w:rPr>
  </w:style>
  <w:style w:type="character" w:styleId="899">
    <w:name w:val="Текст примечания Знак"/>
    <w:next w:val="899"/>
    <w:link w:val="898"/>
    <w:semiHidden/>
    <w:rPr>
      <w:rFonts w:ascii="Calibri" w:hAnsi="Calibri" w:eastAsia="Calibri"/>
      <w:lang w:eastAsia="zh-CN"/>
    </w:rPr>
  </w:style>
  <w:style w:type="paragraph" w:styleId="900">
    <w:name w:val="Тема примечания"/>
    <w:basedOn w:val="898"/>
    <w:next w:val="898"/>
    <w:link w:val="901"/>
    <w:semiHidden/>
    <w:rPr>
      <w:b/>
      <w:bCs/>
    </w:rPr>
  </w:style>
  <w:style w:type="character" w:styleId="901">
    <w:name w:val="Тема примечания Знак"/>
    <w:next w:val="901"/>
    <w:link w:val="900"/>
    <w:semiHidden/>
    <w:rPr>
      <w:rFonts w:ascii="Calibri" w:hAnsi="Calibri" w:eastAsia="Calibri"/>
      <w:b/>
      <w:bCs/>
      <w:lang w:eastAsia="zh-CN"/>
    </w:rPr>
  </w:style>
  <w:style w:type="paragraph" w:styleId="902">
    <w:name w:val="Текст выноски"/>
    <w:basedOn w:val="862"/>
    <w:next w:val="902"/>
    <w:link w:val="903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styleId="903">
    <w:name w:val="Текст выноски Знак"/>
    <w:next w:val="903"/>
    <w:link w:val="902"/>
    <w:semiHidden/>
    <w:rPr>
      <w:rFonts w:ascii="Tahoma" w:hAnsi="Tahoma" w:eastAsia="Calibri"/>
      <w:sz w:val="16"/>
      <w:szCs w:val="16"/>
      <w:lang w:eastAsia="zh-CN"/>
    </w:rPr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  <w:style w:type="table" w:styleId="906" w:default="1">
    <w:name w:val="Normal Table"/>
    <w:uiPriority w:val="99"/>
    <w:semiHidden/>
    <w:unhideWhenUsed/>
    <w:tblPr/>
  </w:style>
  <w:style w:type="paragraph" w:styleId="907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standardContextu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13</cp:revision>
  <dcterms:modified xsi:type="dcterms:W3CDTF">2026-05-06T14:37:57Z</dcterms:modified>
</cp:coreProperties>
</file>