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9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2"/>
        <w:gridCol w:w="4995"/>
      </w:tblGrid>
      <w:tr>
        <w:trPr/>
        <w:tc>
          <w:tcPr>
            <w:tcW w:w="4932" w:type="dxa"/>
            <w:tcBorders/>
          </w:tcPr>
          <w:p>
            <w:pPr>
              <w:pStyle w:val="Style20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cs="Times New Roman"/>
                <w:sz w:val="28"/>
                <w:shd w:fill="FFFFFF" w:val="clear"/>
              </w:rPr>
            </w:pPr>
            <w:r>
              <w:rPr>
                <w:rFonts w:cs="Times New Roman"/>
                <w:sz w:val="28"/>
                <w:shd w:fill="FFFFFF" w:val="clear"/>
              </w:rPr>
              <w:t>ФЕДЕРАЛЬНАЯ</w:t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cs="Times New Roman"/>
                <w:sz w:val="28"/>
                <w:shd w:fill="FFFFFF" w:val="clear"/>
              </w:rPr>
            </w:pPr>
            <w:r>
              <w:rPr>
                <w:rFonts w:cs="Times New Roman"/>
                <w:sz w:val="28"/>
                <w:shd w:fill="FFFFFF" w:val="clear"/>
              </w:rPr>
              <w:t>АНТИМОНОПОЛЬНАЯ СЛУЖБА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0"/>
              <w:jc w:val="center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</w:r>
          </w:p>
        </w:tc>
        <w:tc>
          <w:tcPr>
            <w:tcW w:w="4995" w:type="dxa"/>
            <w:tcBorders/>
          </w:tcPr>
          <w:p>
            <w:pPr>
              <w:pStyle w:val="Style20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cs="Times New Roman"/>
                <w:sz w:val="28"/>
                <w:shd w:fill="FFFFFF" w:val="clear"/>
              </w:rPr>
            </w:pPr>
            <w:r>
              <w:rPr>
                <w:rFonts w:cs="Times New Roman"/>
                <w:sz w:val="28"/>
                <w:shd w:fill="FFFFFF" w:val="clear"/>
              </w:rPr>
              <w:t>МИНИСТЕРСТВО ПРОМЫШЛЕННОСТИ И ТОРГОВЛИ РОССИЙСКОЙ ФЕДЕРАЦИИ</w:t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 w:before="0" w:after="0"/>
              <w:jc w:val="center"/>
              <w:rPr>
                <w:rFonts w:ascii="Times New Roman" w:hAnsi="Times New Roman" w:cs="Times New Roman"/>
                <w:sz w:val="28"/>
                <w:shd w:fill="FFFFFF" w:val="clear"/>
              </w:rPr>
            </w:pPr>
            <w:r>
              <w:rPr>
                <w:rFonts w:cs="Times New Roman"/>
                <w:sz w:val="28"/>
                <w:shd w:fill="FFFFFF" w:val="clear"/>
              </w:rPr>
            </w:r>
          </w:p>
        </w:tc>
      </w:tr>
    </w:tbl>
    <w:p>
      <w:pPr>
        <w:pStyle w:val="BodyText"/>
        <w:widowControl w:val="false"/>
        <w:bidi w:val="0"/>
        <w:spacing w:lineRule="auto" w:line="360" w:before="0" w:after="0"/>
        <w:jc w:val="left"/>
        <w:rPr>
          <w:rFonts w:ascii="Times New Roman" w:hAnsi="Times New Roman" w:cs="Times New Roman"/>
          <w:b/>
          <w:sz w:val="28"/>
          <w:shd w:fill="FFFFFF" w:val="clear"/>
        </w:rPr>
      </w:pPr>
      <w:r>
        <w:rPr>
          <w:rFonts w:cs="Times New Roman"/>
          <w:b/>
          <w:sz w:val="28"/>
          <w:shd w:fill="FFFFFF" w:val="clear"/>
        </w:rPr>
      </w:r>
    </w:p>
    <w:p>
      <w:pPr>
        <w:pStyle w:val="BodyText"/>
        <w:bidi w:val="0"/>
        <w:spacing w:lineRule="auto" w:line="360" w:before="0" w:after="0"/>
        <w:jc w:val="left"/>
        <w:rPr>
          <w:rFonts w:ascii="Times New Roman" w:hAnsi="Times New Roman" w:cs="Times New Roman"/>
          <w:b/>
          <w:sz w:val="28"/>
          <w:shd w:fill="FFFFFF" w:val="clear"/>
        </w:rPr>
      </w:pPr>
      <w:r>
        <w:rPr>
          <w:rFonts w:cs="Times New Roman"/>
          <w:b/>
          <w:sz w:val="28"/>
          <w:shd w:fill="FFFFFF" w:val="clear"/>
        </w:rPr>
      </w:r>
    </w:p>
    <w:p>
      <w:pPr>
        <w:pStyle w:val="BodyText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hd w:fill="FFFFFF" w:val="clear"/>
        </w:rPr>
      </w:pPr>
      <w:r>
        <w:rPr>
          <w:rFonts w:cs="Times New Roman"/>
          <w:b/>
          <w:sz w:val="28"/>
          <w:shd w:fill="FFFFFF" w:val="clear"/>
        </w:rPr>
        <w:t>ПРИКАЗ</w:t>
      </w:r>
    </w:p>
    <w:p>
      <w:pPr>
        <w:pStyle w:val="BodyText"/>
        <w:bidi w:val="0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hd w:fill="FFFFFF" w:val="clear"/>
        </w:rPr>
      </w:pPr>
      <w:r>
        <w:rPr>
          <w:rFonts w:cs="Times New Roman"/>
          <w:b/>
          <w:sz w:val="28"/>
          <w:shd w:fill="FFFFFF" w:val="clear"/>
        </w:rPr>
      </w:r>
    </w:p>
    <w:p>
      <w:pPr>
        <w:pStyle w:val="BodyText"/>
        <w:tabs>
          <w:tab w:val="clear" w:pos="709"/>
          <w:tab w:val="left" w:pos="4380" w:leader="none"/>
        </w:tabs>
        <w:bidi w:val="0"/>
        <w:spacing w:lineRule="auto" w:line="360" w:before="0" w:after="0"/>
        <w:jc w:val="both"/>
        <w:rPr>
          <w:rFonts w:ascii="Times New Roman" w:hAnsi="Times New Roman" w:cs="Times New Roman"/>
          <w:sz w:val="28"/>
          <w:shd w:fill="FFFFFF" w:val="clear"/>
        </w:rPr>
      </w:pPr>
      <w:r>
        <w:rPr>
          <w:rFonts w:cs="Times New Roman"/>
          <w:sz w:val="28"/>
          <w:shd w:fill="FFFFFF" w:val="clear"/>
        </w:rPr>
        <w:t>от «____»__________20__ г.</w:t>
        <w:tab/>
        <w:tab/>
        <w:tab/>
        <w:tab/>
        <w:t xml:space="preserve"> № ______________________</w:t>
      </w:r>
    </w:p>
    <w:p>
      <w:pPr>
        <w:pStyle w:val="BodyText"/>
        <w:bidi w:val="0"/>
        <w:spacing w:before="0" w:after="0"/>
        <w:jc w:val="center"/>
        <w:rPr>
          <w:rFonts w:ascii="Times New Roman" w:hAnsi="Times New Roman" w:cs="Times New Roman"/>
          <w:sz w:val="28"/>
          <w:shd w:fill="FFFFFF" w:val="clear"/>
        </w:rPr>
      </w:pPr>
      <w:r>
        <w:rPr>
          <w:rFonts w:cs="Times New Roman"/>
          <w:sz w:val="28"/>
          <w:shd w:fill="FFFFFF" w:val="clear"/>
        </w:rPr>
      </w:r>
    </w:p>
    <w:p>
      <w:pPr>
        <w:pStyle w:val="BodyText"/>
        <w:bidi w:val="0"/>
        <w:spacing w:before="0" w:after="0"/>
        <w:jc w:val="center"/>
        <w:rPr>
          <w:rFonts w:ascii="Times New Roman" w:hAnsi="Times New Roman" w:cs="Times New Roman"/>
          <w:sz w:val="28"/>
          <w:shd w:fill="FFFFFF" w:val="clear"/>
        </w:rPr>
      </w:pPr>
      <w:r>
        <w:rPr>
          <w:rFonts w:cs="Times New Roman"/>
          <w:sz w:val="28"/>
          <w:shd w:fill="FFFFFF" w:val="clear"/>
        </w:rPr>
      </w:r>
    </w:p>
    <w:p>
      <w:pPr>
        <w:pStyle w:val="BodyText"/>
        <w:bidi w:val="0"/>
        <w:spacing w:before="0" w:after="0"/>
        <w:jc w:val="center"/>
        <w:rPr>
          <w:rFonts w:ascii="Times New Roman" w:hAnsi="Times New Roman" w:cs="Times New Roman"/>
          <w:sz w:val="28"/>
          <w:shd w:fill="FFFFFF" w:val="clear"/>
        </w:rPr>
      </w:pPr>
      <w:r>
        <w:rPr>
          <w:rFonts w:cs="Times New Roman"/>
          <w:sz w:val="28"/>
          <w:shd w:fill="FFFFFF" w:val="clear"/>
        </w:rPr>
      </w:r>
    </w:p>
    <w:p>
      <w:pPr>
        <w:pStyle w:val="Normal"/>
        <w:bidi w:val="0"/>
        <w:spacing w:lineRule="auto" w:line="252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bidi w:val="0"/>
        <w:spacing w:lineRule="auto" w:line="252"/>
        <w:jc w:val="center"/>
        <w:rPr>
          <w:rFonts w:cs="Times New Roman"/>
          <w:b/>
          <w:bCs/>
          <w:sz w:val="28"/>
          <w:szCs w:val="28"/>
          <w:shd w:fill="FFFFFF" w:val="clear"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Об утверждении величины объема продаваемого на бирже отдельного товара промышленного комплекса и требований к биржевым торгам</w:t>
      </w:r>
    </w:p>
    <w:p>
      <w:pPr>
        <w:pStyle w:val="Normal"/>
        <w:bidi w:val="0"/>
        <w:spacing w:before="100" w:after="0"/>
        <w:jc w:val="center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bidi w:val="0"/>
        <w:spacing w:before="100" w:after="0"/>
        <w:jc w:val="center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tabs>
          <w:tab w:val="clear" w:pos="709"/>
          <w:tab w:val="left" w:pos="10040" w:leader="none"/>
        </w:tabs>
        <w:bidi w:val="0"/>
        <w:spacing w:lineRule="auto" w:line="360"/>
        <w:ind w:firstLine="709" w:left="0" w:right="0"/>
        <w:jc w:val="both"/>
        <w:rPr/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</w:t>
      </w:r>
      <w:r>
        <w:rPr>
          <w:rFonts w:cs="Times New Roman"/>
          <w:sz w:val="28"/>
          <w:szCs w:val="28"/>
        </w:rPr>
        <w:t>соответствии с пунктами 1, 2 части 5 статьи 6 Федерального закона</w:t>
        <w:br/>
        <w:t>от 26 июля 2006 г. № 135-ФЗ «О защите конкуренции», пунктом 1 Положения</w:t>
        <w:br/>
        <w:t>о Федеральной антимонопольной службе, утвержденного постановлением Правительства Российской Федерации от 30 июня 2004 г. № 331, абзацем вторым пункта 1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</w:p>
    <w:p>
      <w:pPr>
        <w:pStyle w:val="BodyText"/>
        <w:widowControl/>
        <w:bidi w:val="0"/>
        <w:spacing w:lineRule="auto" w:line="36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п р и к а з ы в а е м:</w:t>
      </w:r>
    </w:p>
    <w:p>
      <w:pPr>
        <w:pStyle w:val="BodyText"/>
        <w:widowControl/>
        <w:bidi w:val="0"/>
        <w:spacing w:lineRule="auto" w:line="36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1. Утвердить величину объема продаваемого на бирже отдельного товара промышленного комплекса, производимого и (или) реализуемого хозяйствующим субъектом, занимающим доминирующее положение на соответствующем товарном рынке, согласно приложению № 1 к настоящему приказу.</w:t>
      </w:r>
    </w:p>
    <w:p>
      <w:pPr>
        <w:pStyle w:val="BodyText"/>
        <w:widowControl/>
        <w:bidi w:val="0"/>
        <w:spacing w:lineRule="auto" w:line="36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2. Утвердить требования к биржевым торгам, в ходе которых хозяйствующим субъектом, занимающим доминирующее положение</w:t>
        <w:br/>
        <w:t>на соответствующем товарном рынке, заключаются сделки с отдельным товаром промышленного комплекса, согласно приложению № 2 к настоящему приказу.</w:t>
      </w:r>
    </w:p>
    <w:p>
      <w:pPr>
        <w:pStyle w:val="Normal"/>
        <w:widowControl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3. Настоящий приказ вступает в силу с 1 июня 2026 г.</w:t>
      </w:r>
    </w:p>
    <w:p>
      <w:pPr>
        <w:pStyle w:val="BodyText"/>
        <w:bidi w:val="0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BodyText"/>
        <w:bidi w:val="0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tbl>
      <w:tblPr>
        <w:tblW w:w="99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4823"/>
      </w:tblGrid>
      <w:tr>
        <w:trPr/>
        <w:tc>
          <w:tcPr>
            <w:tcW w:w="5102" w:type="dxa"/>
            <w:tcBorders/>
            <w:shd w:fill="FFFFFF" w:val="clear"/>
          </w:tcPr>
          <w:p>
            <w:pPr>
              <w:pStyle w:val="Style20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Руководитель</w:t>
              <w:br/>
              <w:t xml:space="preserve">Федеральной антимонопольной службы </w:t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left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left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_________________ М.А. Шаскольский</w:t>
            </w:r>
          </w:p>
        </w:tc>
        <w:tc>
          <w:tcPr>
            <w:tcW w:w="4823" w:type="dxa"/>
            <w:tcBorders/>
            <w:shd w:fill="FFFFFF" w:val="clear"/>
          </w:tcPr>
          <w:p>
            <w:pPr>
              <w:pStyle w:val="Style20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>Министр промышленности</w:t>
              <w:br/>
              <w:t>и торговли Российской Федерации</w:t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</w:r>
          </w:p>
          <w:p>
            <w:pPr>
              <w:pStyle w:val="Style20"/>
              <w:widowControl w:val="false"/>
              <w:tabs>
                <w:tab w:val="clear" w:pos="709"/>
              </w:tabs>
              <w:bidi w:val="0"/>
              <w:spacing w:lineRule="auto" w:line="36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>_________________ А.А. Алиханов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widowControl/>
        <w:bidi w:val="0"/>
        <w:jc w:val="left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  <w:r>
        <w:br w:type="page"/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Приложение № 1</w:t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 приказу ФАС России</w:t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Минпромторга России </w:t>
      </w:r>
    </w:p>
    <w:p>
      <w:pPr>
        <w:pStyle w:val="ConsPlusNormal"/>
        <w:spacing w:lineRule="auto" w:line="240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от _____ 20__ № _________________</w:t>
      </w:r>
    </w:p>
    <w:p>
      <w:pPr>
        <w:pStyle w:val="ConsPlusTitle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bidi w:val="0"/>
        <w:spacing w:lineRule="auto" w:line="252"/>
        <w:jc w:val="center"/>
        <w:rPr>
          <w:rFonts w:cs="Times New Roman"/>
          <w:b/>
          <w:bCs/>
          <w:sz w:val="28"/>
          <w:szCs w:val="28"/>
          <w:shd w:fill="FFFFFF" w:val="clear"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Величина объема продаваемого на бирже отдельного товара промышленного комплекса, производимого и (или) реализуемого хозяйствующим субъектом, занимающим доминирующее положение на соответствующем товарном рынке</w:t>
      </w:r>
    </w:p>
    <w:p>
      <w:pPr>
        <w:pStyle w:val="Normal"/>
        <w:bidi w:val="0"/>
        <w:spacing w:lineRule="auto" w:line="252"/>
        <w:jc w:val="center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bidi w:val="0"/>
        <w:spacing w:lineRule="auto" w:line="360"/>
        <w:ind w:firstLine="709" w:left="0" w:right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Для целей применения пункта 1 части 5 статьи 6 Федерального закона от 26 июля 2006 г. № 135-ФЗ «О защите конкуренции» величина объема продаваемого на бирже отдельного товара промышленного комплекса</w:t>
        <w:br/>
        <w:t>(далее – отдельный товар), производимого и (или) реализуемого хозяйствующим субъектом, занимающим доминирующее положение на соответствующем товарном рынке, в том числе лицами, входящими в одну группу лиц с таким хозяйствующим субъектом, и (или) участниками биржевых торгов, которые действуют в интересах и за счет указанных лиц, составляет следующий объем</w:t>
        <w:br/>
      </w:r>
      <w:r>
        <w:rPr>
          <w:rFonts w:cs="Times New Roman"/>
          <w:sz w:val="28"/>
          <w:szCs w:val="28"/>
          <w:shd w:fill="FFFFFF" w:val="clear"/>
        </w:rPr>
        <w:t xml:space="preserve">для </w:t>
      </w:r>
      <w:r>
        <w:rPr>
          <w:rFonts w:cs="Times New Roman"/>
          <w:sz w:val="28"/>
          <w:szCs w:val="28"/>
          <w:shd w:fill="FFFFFF" w:val="clear"/>
        </w:rPr>
        <w:t>отдельного товара на месячный период:</w:t>
      </w:r>
    </w:p>
    <w:p>
      <w:pPr>
        <w:pStyle w:val="Normal"/>
        <w:bidi w:val="0"/>
        <w:spacing w:lineRule="auto" w:line="360"/>
        <w:ind w:firstLine="709" w:left="0" w:right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первичный алюминий</w:t>
      </w:r>
      <w:r>
        <w:rPr>
          <w:sz w:val="28"/>
          <w:szCs w:val="28"/>
          <w:shd w:fill="FFFFFF" w:val="clear"/>
        </w:rPr>
        <w:t>, соответствующий межгосударственному стандарту ГОСТ 11069-2019 «Алюминий первичный. Марки», введенному в действие</w:t>
        <w:br/>
        <w:t xml:space="preserve">1 июня 2020 г. приказом Федерального агентства по техническому регулированию </w:t>
      </w:r>
      <w:r>
        <w:rPr>
          <w:sz w:val="28"/>
          <w:szCs w:val="28"/>
          <w:shd w:fill="FFFFFF" w:val="clear"/>
        </w:rPr>
        <w:t xml:space="preserve">и </w:t>
      </w:r>
      <w:r>
        <w:rPr>
          <w:sz w:val="28"/>
          <w:szCs w:val="28"/>
          <w:shd w:fill="FFFFFF" w:val="clear"/>
        </w:rPr>
        <w:t xml:space="preserve">метрологии от 16 октября 2019 г. № 1010-ст (далее </w:t>
      </w:r>
      <w:r>
        <w:rPr>
          <w:rFonts w:cs="Times New Roman"/>
          <w:sz w:val="28"/>
          <w:szCs w:val="28"/>
          <w:shd w:fill="FFFFFF" w:val="clear"/>
        </w:rPr>
        <w:t>–</w:t>
      </w:r>
      <w:r>
        <w:rPr>
          <w:sz w:val="28"/>
          <w:szCs w:val="28"/>
          <w:shd w:fill="FFFFFF" w:val="clear"/>
        </w:rPr>
        <w:t xml:space="preserve"> первичный алюминий)</w:t>
      </w:r>
      <w:r>
        <w:rPr>
          <w:rFonts w:cs="Times New Roman"/>
          <w:sz w:val="28"/>
          <w:szCs w:val="28"/>
          <w:shd w:fill="FFFFFF" w:val="clear"/>
        </w:rPr>
        <w:t xml:space="preserve"> –</w:t>
        <w:br/>
        <w:t>не менее десяти процентов от объема первичного алюминия, произведенного</w:t>
        <w:br/>
        <w:t>в соответствующем месяце года, предшествующего расчету величины продаваемого на бирже первичного алюминия.</w:t>
      </w:r>
      <w:r>
        <w:br w:type="page"/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Приложение № 2</w:t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 приказу ФАС России</w:t>
      </w:r>
    </w:p>
    <w:p>
      <w:pPr>
        <w:pStyle w:val="ConsPlusNormal"/>
        <w:spacing w:lineRule="auto" w:line="240"/>
        <w:ind w:hanging="0" w:left="6521" w:right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Минпромторга России </w:t>
      </w:r>
    </w:p>
    <w:p>
      <w:pPr>
        <w:pStyle w:val="ConsPlusNormal"/>
        <w:spacing w:lineRule="auto" w:line="240"/>
        <w:jc w:val="right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от _____ 20__ № _________________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>Требования к биржевым торгам, в ходе которых хозяйствующим субъектом, занимающим доминирующее положение на соответствующем товарном рынке, заключаются сделки с отдельным товаром промышленного комплекса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</w:r>
    </w:p>
    <w:p>
      <w:pPr>
        <w:pStyle w:val="Normal"/>
        <w:bidi w:val="0"/>
        <w:spacing w:lineRule="auto" w:line="360"/>
        <w:ind w:firstLine="709" w:left="0" w:right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1. Требования к биржевым торгам, в ходе которых заключаются сделки</w:t>
        <w:br/>
        <w:t>с отдельным товаром промышленного комплекса (далее – отдельный товар), производимого и (или) реализуемого хозяйствующим субъектом, занимающим доминирующее положение на соответствующем товарном рынке</w:t>
        <w:br/>
        <w:t>(далее соответственно – Требования к биржевым торгам, занимающий доминирующее положение хозяйствующий субъект), применяются к биржевым торгам, в ходе которых заключаются сделки по продаже отдельного товара, производимого и (или) реализуемого занимающим доминирующее положение  хозяйствующим субъектом, а также лицами, входящими в одну группу лиц</w:t>
        <w:br/>
      </w:r>
      <w:r>
        <w:rPr>
          <w:rFonts w:cs="Times New Roman"/>
          <w:sz w:val="28"/>
          <w:szCs w:val="28"/>
          <w:shd w:fill="FFFFFF" w:val="clear"/>
        </w:rPr>
        <w:t>с</w:t>
      </w:r>
      <w:r>
        <w:rPr>
          <w:rFonts w:cs="Times New Roman"/>
          <w:sz w:val="28"/>
          <w:szCs w:val="28"/>
          <w:shd w:fill="FFFFFF" w:val="clear"/>
        </w:rPr>
        <w:t xml:space="preserve"> таким хозяйствующим субъектом, и (или) участниками биржевых торгов, действующими в интересах и за счет указанных лиц (далее – биржевые торги).</w:t>
      </w:r>
    </w:p>
    <w:p>
      <w:pPr>
        <w:pStyle w:val="Normal"/>
        <w:bidi w:val="0"/>
        <w:spacing w:lineRule="auto" w:line="360"/>
        <w:ind w:firstLine="709" w:left="0" w:right="0"/>
        <w:jc w:val="both"/>
        <w:rPr/>
      </w:pPr>
      <w:r>
        <w:rPr>
          <w:rFonts w:eastAsia="Times New Roman" w:cs="Times New Roman"/>
          <w:sz w:val="28"/>
          <w:szCs w:val="28"/>
          <w:shd w:fill="FFFFFF" w:val="clear"/>
          <w:lang w:eastAsia="ru-RU" w:bidi="ar-SA"/>
        </w:rPr>
        <w:t xml:space="preserve">2. </w:t>
      </w:r>
      <w:r>
        <w:rPr>
          <w:rFonts w:cs="Times New Roman"/>
          <w:sz w:val="28"/>
          <w:szCs w:val="28"/>
          <w:shd w:fill="FFFFFF" w:val="clear"/>
        </w:rPr>
        <w:t>При определении величины объема продаваемого на бирже отдельного товара, производимого и (или) реализуемого занимающим доминирующее положение хозяйствующим субъектом, а также лицами, входящими в одну группу лиц с таким хозяйствующим субъектом, и (или) участниками биржевых торгов, действующими в интересах и за счет указанных лиц, приведенной</w:t>
        <w:br/>
        <w:t>в приложении № 1 к настоящему приказу, на соответствующем товарном рынке (далее – величина), учитывается объем отдельного товара, реализуемого</w:t>
        <w:br/>
        <w:t xml:space="preserve">на следующих условиях поставки: 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 xml:space="preserve">«самовывоз железнодорожным транспортом» с призаводской станции; 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«самовывоз автомобильным транспортом» с призаводского склада;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«франко-вагон станция отправления» с призаводской станции.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 xml:space="preserve">3. В случае, если продажа на бирже </w:t>
      </w:r>
      <w:r>
        <w:rPr>
          <w:rFonts w:cs="Times New Roman"/>
          <w:sz w:val="28"/>
          <w:szCs w:val="28"/>
          <w:shd w:fill="FFFFFF" w:val="clear"/>
        </w:rPr>
        <w:t xml:space="preserve">отдельного </w:t>
      </w:r>
      <w:r>
        <w:rPr>
          <w:rFonts w:cs="Times New Roman"/>
          <w:sz w:val="28"/>
          <w:szCs w:val="28"/>
          <w:shd w:fill="FFFFFF" w:val="clear"/>
        </w:rPr>
        <w:t>товара</w:t>
      </w:r>
      <w:r>
        <w:rPr>
          <w:rFonts w:cs="Times New Roman"/>
          <w:sz w:val="28"/>
          <w:szCs w:val="28"/>
          <w:shd w:fill="FFFFFF" w:val="clear"/>
        </w:rPr>
        <w:t xml:space="preserve"> занимающим доминирующее положение хозяйствующим субъектом, в том числе лицами, входящими в одну группу лиц с таким хозяйствующим субъектом,</w:t>
        <w:br/>
        <w:t>и (или) участниками биржевых торгов, которые действуют в интересах и за счет указанных лиц, осуществляется согласно выданному ему обязательному</w:t>
        <w:br/>
        <w:t>для исполнения предписанию антимонопольного органа в соответствии</w:t>
        <w:br/>
        <w:t>со статьями 33 и 36 Федерального закона от 26 июля 2006 г. № 135-ФЗ «О защите конкуренции», то объем такой продажи отдельного товара учитывается</w:t>
        <w:br/>
        <w:t>при определении соответствия объема, продаваемого на бирже отдельного товара величине в соответствии с Требованиями к биржевым торгам.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4. При определении соответствия объема продаваемого на бирже отдельного товара установленной величине не учитываются следующие биржевые сделки:</w:t>
      </w:r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а) заключенные на основании адресованных конкретному участнику биржевых торгов заявок;</w:t>
      </w:r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б) заключенные на основании заявок, поданных одним участником биржевых торгов и содержащих встречные по отношению друг к другу волеизъявления на заключение договора с одним видом биржевого товара;</w:t>
      </w:r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bookmarkStart w:id="0" w:name="P83"/>
      <w:r>
        <w:rPr>
          <w:rFonts w:cs="Times New Roman" w:ascii="Times New Roman" w:hAnsi="Times New Roman"/>
          <w:sz w:val="28"/>
          <w:szCs w:val="28"/>
          <w:shd w:fill="FFFFFF" w:val="clear"/>
        </w:rPr>
        <w:t>в) нестандартные сделки, определенные в соответствии с Федеральным законом от 27 июля 2010 г. № 224-ФЗ «О противодействии неправомерному использованию инсайдерской информации и манипулированию рынком</w:t>
        <w:br/>
        <w:t>и о внесении изменений в отдельные законодательные акты Российской Федерации».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5. При определении соответствия объема продаваемого на бирже отдельного товара установленной величине из месячного объема продаж отдельного товара, занимающим доминирующее положение хозяйствующим субъектом, в том числе лиц, входящих в одну группу лиц с таким хозяйствующим субъектом, и (или) участников биржевых торгов, которые действуют в интересах и за счет указанных лиц, вычитаются объемы отдельного товара, приобретенного указанным занимающим доминирующее положение хозяйствующим субъектом, в том числе лицами, входящими в одну группу лиц с таким хозяйствующим субъектом, и (или) участниками биржевых торгов, которые действуют в интересах и за счет указанных лиц, в результате заключенных на биржевых торгах сделок в основные торговые сессии в соответствующем месяце между: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а) занимающими доминирующее положение хозяйствующими субъектами;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б) занимающим доминирующее положение хозяйствующим субъектом</w:t>
        <w:br/>
        <w:t>и лицом, входящим в одну группу лиц с таким занимающим доминирующее положение хозяйствующим субъектом;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в) лицом, входящим в одну группу лиц с занимающим доминирующее положение хозяйствующим субъектом, и лицом, входящим в одну группу лиц</w:t>
        <w:br/>
        <w:t>с другим занимающим доминирующее положение хозяйствующим субъектом;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г) занимающим доминирующее положение хозяйствующим субъектом</w:t>
        <w:br/>
        <w:t>и лицом, входящим в одну группу лиц с другим занимающим доминирующее положение хозяйствующим субъектом;</w:t>
      </w:r>
    </w:p>
    <w:p>
      <w:pPr>
        <w:pStyle w:val="Normal"/>
        <w:bidi w:val="0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  <w:shd w:fill="FFFFFF" w:val="clear"/>
        </w:rPr>
        <w:t>д) занимающим доминирующее положение хозяйствующим субъектом</w:t>
        <w:br/>
        <w:t>или лицами, входящими в одну группу лиц с таким хозяйствующим субъектом,</w:t>
        <w:br/>
        <w:t>и другими лицами, участвующими в биржевых торгах.</w:t>
      </w:r>
    </w:p>
    <w:p>
      <w:pPr>
        <w:pStyle w:val="ConsPlusNormal"/>
        <w:spacing w:lineRule="auto" w:line="360"/>
        <w:ind w:firstLine="680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6. Стартовая цена рассчитывается биржей и устанавливается</w:t>
        <w:br/>
        <w:t>как наименьшее значение коридора, рассчитанного в соответствии</w:t>
        <w:br/>
        <w:t>с пунктом 7 Требований к биржевым торгам.</w:t>
      </w:r>
    </w:p>
    <w:p>
      <w:pPr>
        <w:pStyle w:val="ConsPlusNormal"/>
        <w:spacing w:lineRule="auto" w:line="360"/>
        <w:ind w:firstLine="680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7. Коридор цен (максимальная и минимальная цена) на первичный алюминий марки А7, соответствующий международному стандарту</w:t>
        <w:br/>
        <w:t>ГОСТ 11069-2019 «Алюминий первичный. Марки», введенному в действие</w:t>
        <w:br/>
        <w:t xml:space="preserve">1 июня 2020 г. приказом Федерального агентства по техническому регулированию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метрологии от 16 октября 2019 г. № 1010-ст (далее – ГОСТ 11069-2019), определяется как диапазон значений цен от величины, равной значению средней котировки на первичный алюминий на Шанхайской фьючерсной бирже (SHFE)</w:t>
        <w:br/>
        <w:t>за календарный месяц, предшествующий месяцу проведения биржевых торгов,</w:t>
        <w:br/>
        <w:t>в рублях по курсу Банка России за вычетом налога на добавленную стоимость</w:t>
        <w:br/>
        <w:t>по ставке законодательства Китайской Народной Республики, до величины, равной значению средней котировки на первичный алюминий на Лондонской бирже металлов (LME) за календарный месяц, предшествующий месяцу проведения биржевых торгов, с учетом премии P1020A Rotterdam (за аналогичный период) в рублях по курсу Банка России.</w:t>
      </w:r>
      <w:bookmarkStart w:id="1" w:name="P88_Копия_1"/>
      <w:bookmarkStart w:id="2" w:name="_GoBack_Копия_1"/>
      <w:bookmarkStart w:id="3" w:name="_GoBack_Копия_1_Копия_1"/>
      <w:bookmarkStart w:id="4" w:name="P83_Копия_1"/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8. Коридор цен (максимальная и минимальная цена) на первичный алюминий марок за исключением марки А7, соответствующий ГОСТ 11069-2019, определяется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>в соответствии с пунктом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7 Требований к биржевым торгам с учетом продуктовых премий за соответствующую марку первичного алюминия, принятых Рабочей группой при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овете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екции «Металлы и сплавы»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акционерного общества «Санкт-Петербургская Международная Товарно-сырьевая Биржа»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по биржевой торговле первичным алюминием.</w:t>
      </w:r>
      <w:bookmarkStart w:id="5" w:name="P98"/>
    </w:p>
    <w:p>
      <w:pPr>
        <w:pStyle w:val="Normal"/>
        <w:bidi w:val="0"/>
        <w:spacing w:lineRule="auto" w:line="360"/>
        <w:ind w:firstLine="709" w:left="0" w:right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9. Ценовые предложения в заявках на продажу </w:t>
      </w:r>
      <w:r>
        <w:rPr>
          <w:rFonts w:cs="Times New Roman"/>
          <w:sz w:val="28"/>
          <w:szCs w:val="28"/>
          <w:shd w:fill="FFFFFF" w:val="clear"/>
        </w:rPr>
        <w:t>отдельного товара</w:t>
      </w:r>
      <w:r>
        <w:rPr>
          <w:rFonts w:cs="Times New Roman"/>
          <w:sz w:val="28"/>
          <w:szCs w:val="28"/>
          <w:shd w:fill="FFFFFF" w:val="clear"/>
        </w:rPr>
        <w:t>, поданных в течение торговой сессии занимающим доминирующее положение хозяйствующим субъектом, а также лицами, входящими в одну группу лиц</w:t>
        <w:br/>
        <w:t xml:space="preserve">с таким хозяйствующим субъектом, и (или) участниками биржевых торгов, действующими в интересах и за счет указанных лиц, </w:t>
      </w:r>
      <w:r>
        <w:rPr>
          <w:sz w:val="28"/>
          <w:szCs w:val="28"/>
          <w:shd w:fill="FFFFFF" w:val="clear"/>
        </w:rPr>
        <w:t xml:space="preserve">определяются равными нижней границе диапазона цен, определяемого в соответствии с пунктом 7 </w:t>
      </w:r>
      <w:r>
        <w:rPr>
          <w:rFonts w:cs="Times New Roman"/>
          <w:sz w:val="28"/>
          <w:szCs w:val="28"/>
          <w:shd w:fill="FFFFFF" w:val="clear"/>
        </w:rPr>
        <w:t>Требований к биржевым торгам.</w:t>
      </w:r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bookmarkStart w:id="6" w:name="P102"/>
      <w:r>
        <w:rPr>
          <w:rFonts w:cs="Times New Roman" w:ascii="Times New Roman" w:hAnsi="Times New Roman"/>
          <w:sz w:val="28"/>
          <w:szCs w:val="28"/>
          <w:shd w:fill="FFFFFF" w:val="clear"/>
        </w:rPr>
        <w:t>10. Минимальное количество участников биржевых торгов в течение торговой сессии должно составлять:</w:t>
      </w:r>
      <w:bookmarkStart w:id="7" w:name="P108"/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не менее одного участника, подавшего заявку на продажу биржевых товаров; </w:t>
      </w:r>
    </w:p>
    <w:p>
      <w:pPr>
        <w:pStyle w:val="ConsPlusNormal"/>
        <w:spacing w:lineRule="auto" w:line="36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 менее трех участников, подавших заявки на покупку одного вида бирже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вого товара.</w:t>
      </w:r>
      <w:bookmarkStart w:id="8" w:name="P53"/>
    </w:p>
    <w:p>
      <w:pPr>
        <w:pStyle w:val="ConsPlusNormal"/>
        <w:spacing w:lineRule="auto" w:line="360"/>
        <w:ind w:firstLine="709" w:left="0" w:right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11. Действия организатора торговли и (или) участников биржевых торгов</w:t>
        <w:br/>
        <w:t>не должны нарушать антимонопольное законодательство Российской Федерации.</w:t>
      </w:r>
      <w:bookmarkStart w:id="9" w:name="Par86"/>
    </w:p>
    <w:p>
      <w:pPr>
        <w:pStyle w:val="Normal"/>
        <w:bidi w:val="0"/>
        <w:spacing w:lineRule="auto" w:line="360"/>
        <w:ind w:firstLine="709" w:left="0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12. Биржей должен быть установлен порядок размещения сведений</w:t>
        <w:br/>
        <w:t>о реализации отдельного товара на биржевых торгах, направляемых продавцом для размещения на официальном сайте биржи в информационно-телекоммуникационной сети «Интернет», учитывающий определенные Правительством Российской Федерации критерии регулярности и равномерности реализации на бирже отдельных категорий товаров</w:t>
      </w:r>
      <w:bookmarkEnd w:id="9"/>
      <w:r>
        <w:rPr>
          <w:rStyle w:val="FootnoteReference"/>
          <w:rFonts w:cs="Times New Roman"/>
          <w:sz w:val="28"/>
          <w:szCs w:val="28"/>
          <w:shd w:fill="FFFFFF" w:val="clear"/>
        </w:rPr>
        <w:footnoteReference w:id="2"/>
      </w:r>
      <w:r>
        <w:rPr>
          <w:rFonts w:cs="Times New Roman"/>
          <w:sz w:val="28"/>
          <w:szCs w:val="28"/>
          <w:shd w:fill="FFFFFF" w:val="clear"/>
        </w:rPr>
        <w:t>.</w:t>
      </w:r>
      <w:bookmarkStart w:id="10" w:name="P113_Копия_1"/>
      <w:bookmarkStart w:id="11" w:name="P83_Копия_1_Копия_1"/>
      <w:bookmarkStart w:id="12" w:name="P98_Копия_1"/>
      <w:bookmarkStart w:id="13" w:name="P108_Копия_1"/>
      <w:bookmarkStart w:id="14" w:name="Par86_Копия_1"/>
      <w:bookmarkStart w:id="15" w:name="_GoBack_Копия_1_Копия_2"/>
      <w:bookmarkStart w:id="16" w:name="P88_Копия_4"/>
      <w:bookmarkStart w:id="17" w:name="P53_Копия_3"/>
      <w:bookmarkStart w:id="18" w:name="P98_Копия_3"/>
      <w:bookmarkStart w:id="19" w:name="P88_Копия_3"/>
      <w:bookmarkStart w:id="20" w:name="P113"/>
      <w:bookmarkStart w:id="21" w:name="_GoBack"/>
      <w:bookmarkStart w:id="22" w:name="P88_Копия_2"/>
      <w:bookmarkStart w:id="23" w:name="P53_Копия_1"/>
      <w:bookmarkStart w:id="24" w:name="P98_Копия_1_Копия_1"/>
      <w:bookmarkStart w:id="25" w:name="P88"/>
      <w:bookmarkStart w:id="26" w:name="P83_Копия_3"/>
      <w:bookmarkStart w:id="27" w:name="P113_Копия_1_Копия_1"/>
      <w:bookmarkStart w:id="28" w:name="P88_Копия_4_Копия_1"/>
      <w:bookmarkStart w:id="29" w:name="P98_Копия_3_Копия_1"/>
      <w:bookmarkStart w:id="30" w:name="P113_Копия_2"/>
      <w:bookmarkStart w:id="31" w:name="P88_Копия_2_Копия_1"/>
      <w:bookmarkStart w:id="32" w:name="P98_Копия_1_Копия_2"/>
      <w:bookmarkStart w:id="33" w:name="P83_Копия_4"/>
      <w:bookmarkStart w:id="34" w:name="P83_Копия_1_Копия_2"/>
      <w:bookmarkStart w:id="35" w:name="P98_Копия_2"/>
      <w:bookmarkStart w:id="36" w:name="P108_Копия_2"/>
      <w:bookmarkStart w:id="37" w:name="Par86_Копия_2"/>
      <w:bookmarkStart w:id="38" w:name="_GoBack_Копия_2"/>
      <w:bookmarkStart w:id="39" w:name="P53_Копия_3_Копия_1"/>
      <w:bookmarkStart w:id="40" w:name="P88_Копия_3_Копия_1"/>
      <w:bookmarkStart w:id="41" w:name="_GoBack_Копия_3"/>
      <w:bookmarkStart w:id="42" w:name="P53_Копия_1_Копия_1"/>
      <w:bookmarkStart w:id="43" w:name="P88_Копия_5"/>
      <w:bookmarkStart w:id="44" w:name="P99"/>
      <w:bookmarkStart w:id="45" w:name="P75"/>
      <w:bookmarkStart w:id="46" w:name="P83_Копия_2"/>
      <w:bookmarkStart w:id="47" w:name="P88_Копия_1_Копия_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567" w:gutter="0" w:header="737" w:top="1296" w:footer="1641" w:bottom="220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9">
              <wp:simplePos x="0" y="0"/>
              <wp:positionH relativeFrom="column">
                <wp:posOffset>5080</wp:posOffset>
              </wp:positionH>
              <wp:positionV relativeFrom="paragraph">
                <wp:posOffset>-10160</wp:posOffset>
              </wp:positionV>
              <wp:extent cx="1727835" cy="40894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bidi w:val="0"/>
                            <w:spacing w:before="0" w:after="12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2026-59366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-0.8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19"/>
                      <w:bidi w:val="0"/>
                      <w:spacing w:before="0" w:after="12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2026-59366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2" name="SpdBarcod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dBarcod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suppressLineNumbers/>
      <w:bidi w:val="0"/>
      <w:jc w:val="left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2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19"/>
                            <w:bidi w:val="0"/>
                            <w:spacing w:before="0" w:after="12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2026-59366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19"/>
                      <w:bidi w:val="0"/>
                      <w:spacing w:before="0" w:after="12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2026-59366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jc w:val="both"/>
        <w:rPr>
          <w:vertAlign w:val="superscript"/>
        </w:rPr>
      </w:pPr>
      <w:r>
        <w:rPr>
          <w:rStyle w:val="Style14"/>
        </w:rPr>
        <w:footnoteRef/>
      </w:r>
      <w:r>
        <w:rPr>
          <w:position w:val="0"/>
          <w:sz w:val="24"/>
          <w:sz w:val="24"/>
          <w:szCs w:val="24"/>
          <w:vertAlign w:val="baseline"/>
        </w:rPr>
        <w:tab/>
        <w:t xml:space="preserve">Постановление Правительства Российской Федерации от 26 </w:t>
      </w:r>
      <w:r>
        <w:rPr>
          <w:position w:val="0"/>
          <w:sz w:val="24"/>
          <w:sz w:val="24"/>
          <w:szCs w:val="24"/>
          <w:vertAlign w:val="baseline"/>
        </w:rPr>
        <w:t xml:space="preserve">апреля </w:t>
      </w:r>
      <w:r>
        <w:rPr>
          <w:position w:val="0"/>
          <w:sz w:val="24"/>
          <w:sz w:val="24"/>
          <w:szCs w:val="24"/>
          <w:vertAlign w:val="baseline"/>
        </w:rPr>
        <w:t xml:space="preserve">2025 </w:t>
      </w:r>
      <w:r>
        <w:rPr>
          <w:position w:val="0"/>
          <w:sz w:val="24"/>
          <w:sz w:val="24"/>
          <w:szCs w:val="24"/>
          <w:vertAlign w:val="baseline"/>
        </w:rPr>
        <w:t xml:space="preserve">г. </w:t>
      </w:r>
      <w:r>
        <w:rPr>
          <w:position w:val="0"/>
          <w:sz w:val="24"/>
          <w:sz w:val="24"/>
          <w:szCs w:val="24"/>
          <w:vertAlign w:val="baseline"/>
        </w:rPr>
        <w:t>№ 560</w:t>
        <w:br/>
        <w:t>«Об утверждении критериев регулярности и равномерности реализации товара на бирже для отдельных товарных рынков».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docVars>
    <w:docVar w:name="ProjectNumber" w:val="2026-59366"/>
    <w:docVar w:name="Annotation" w:val="Об утверждении величины объема продаваемого на бирже отдельного товара промышленного комплекса и требований к биржевым торгам"/>
    <w:docVar w:name="PredsedatelIOF" w:val="М.А. Шаскольский"/>
    <w:docVar w:name="PredsedatelDolj" w:val="Руководитель"/>
    <w:docVar w:name="Name" w:val="Об утверждении величины объема продаваемого на бирже отдельного товара промышленного комплекса и требований к биржевым торгам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Содержимое врезки"/>
    <w:basedOn w:val="BodyText"/>
    <w:qFormat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 w:right="0"/>
    </w:pPr>
    <w:rPr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360" w:before="0" w:after="0"/>
      <w:ind w:firstLine="709" w:left="0" w:right="0"/>
      <w:jc w:val="both"/>
    </w:pPr>
    <w:rPr>
      <w:rFonts w:ascii="Arial" w:hAnsi="Arial" w:eastAsia="Times New Roman" w:cs="Arial"/>
      <w:color w:val="auto"/>
      <w:kern w:val="2"/>
      <w:sz w:val="20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0"/>
      <w:szCs w:val="22"/>
      <w:lang w:val="ru-RU" w:eastAsia="ru-RU" w:bidi="ar-SA"/>
    </w:rPr>
  </w:style>
  <w:style w:type="paragraph" w:styleId="Header">
    <w:name w:val="Header"/>
    <w:basedOn w:val="Style18"/>
    <w:pPr>
      <w:suppressLineNumbers/>
      <w:tabs>
        <w:tab w:val="clear" w:pos="4819"/>
        <w:tab w:val="clear" w:pos="9638"/>
        <w:tab w:val="center" w:pos="4961" w:leader="none"/>
        <w:tab w:val="right" w:pos="9922" w:leader="none"/>
      </w:tabs>
    </w:pPr>
    <w:rPr/>
  </w:style>
  <w:style w:type="paragraph" w:styleId="Style21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191</TotalTime>
  <Application>LibreOffice/7.6.7.2$Windows_X86_64 LibreOffice_project/dd47e4b30cb7dab30588d6c79c651f218165e3c5</Application>
  <AppVersion>15.0000</AppVersion>
  <Pages>8</Pages>
  <Words>1355</Words>
  <Characters>9245</Characters>
  <CharactersWithSpaces>10630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2020-04-16T22:05:29Z</dcterms:created>
  <dc:creator/>
  <dc:description/>
  <dc:language>ru-RU</dc:language>
  <cp:lastModifiedBy/>
  <dcterms:modified xsi:type="dcterms:W3CDTF">2026-05-07T10:47:32Z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Apl3j7C4NRKU7DJi/1lISw==</vt:lpwstr>
  </property>
  <property fmtid="{D5CDD505-2E9C-101B-9397-08002B2CF9AE}" pid="3" name="PreviousContentHash">
    <vt:lpwstr>Q647NGlwmq94/UwrCyAVRQ==</vt:lpwstr>
  </property>
</Properties>
</file>