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 проекту постановления Правительства Российской Федерации</w:t>
      </w:r>
    </w:p>
    <w:p>
      <w:pPr>
        <w:pStyle w:val="ConsPlusTitle"/>
        <w:jc w:val="center"/>
        <w:rPr>
          <w:rStyle w:val="MSGENFONTSTYLENAMETEMPLATEROLENUMBERMSGENFONTSTYLENAMEBYROLETEXT2"/>
          <w:rFonts w:ascii="Times New Roman" w:hAnsi="Times New Roman" w:cs="Times New Roman"/>
          <w:b w:val="0"/>
        </w:rPr>
      </w:pPr>
      <w:r>
        <w:rPr>
          <w:rStyle w:val="MSGENFONTSTYLENAMETEMPLATEROLENUMBERMSGENFONTSTYLENAMEBYROLETEXT2"/>
          <w:rFonts w:ascii="Times New Roman" w:hAnsi="Times New Roman" w:cs="Times New Roman"/>
          <w:bCs/>
          <w:color w:val="000000" w:themeColor="text1"/>
        </w:rPr>
        <w:t xml:space="preserve">«</w:t>
      </w:r>
      <w:bookmarkStart w:id="0" w:name="_Hlk190006373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Правила предоставления из федерального бюджета иных межбюджетных </w:t>
      </w:r>
      <w:r>
        <w:rPr>
          <w:rFonts w:ascii="Times New Roman" w:hAnsi="Times New Roman" w:cs="Times New Roman"/>
          <w:sz w:val="28"/>
          <w:szCs w:val="28"/>
        </w:rPr>
        <w:t xml:space="preserve">трансфертов бюджетам субъектов Российской Федерации на выплату стипендий Правительства Российской Федерации для лиц, обучающихся по очной форме обучения по основным профессиональным образовательным программам среднего профессионального образования, имеющим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аккредитацию, соответствующим приоритетным направлениям модернизации и технологического развития экономики Российской Федерации, в профессиональных образовательных организациях и образовательных организациях высшего образования, являющихся</w:t>
      </w:r>
      <w:r>
        <w:rPr>
          <w:rFonts w:ascii="Times New Roman" w:hAnsi="Times New Roman" w:cs="Times New Roman"/>
          <w:sz w:val="28"/>
          <w:szCs w:val="28"/>
        </w:rPr>
        <w:t xml:space="preserve"> казенными учреждениями, находящихся в ведении органов государственной власти субъектов Российской Федерации, и в муниципальных профессиональных образовательных организациях и образовательных организациях высшего образования, являющихся казенными учреждени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bookmarkEnd w:id="0"/>
      <w:r>
        <w:rPr>
          <w:rStyle w:val="MSGENFONTSTYLENAMETEMPLATEROLENUMBERMSGENFONTSTYLENAMEBYROLETEXT2"/>
          <w:rFonts w:ascii="Times New Roman" w:hAnsi="Times New Roman" w:cs="Times New Roman"/>
          <w:bCs/>
          <w:color w:val="000000" w:themeColor="text1"/>
        </w:rPr>
        <w:t xml:space="preserve">»</w:t>
      </w:r>
    </w:p>
    <w:p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Минпросвещения России подготовлен </w:t>
      </w:r>
      <w:bookmarkStart w:id="1" w:name="_Hlk190006408"/>
      <w:r>
        <w:rPr>
          <w:sz w:val="28"/>
          <w:szCs w:val="28"/>
        </w:rPr>
        <w:t xml:space="preserve">проект постановления Правительства Российской Федерации «</w:t>
      </w:r>
      <w:r>
        <w:rPr>
          <w:sz w:val="28"/>
          <w:szCs w:val="28"/>
        </w:rPr>
        <w:t xml:space="preserve">О внесении </w:t>
      </w:r>
      <w:bookmarkStart w:id="2" w:name="undefined"/>
      <w:r>
        <w:rPr>
          <w:sz w:val="28"/>
          <w:szCs w:val="28"/>
        </w:rPr>
        <w:t xml:space="preserve">изменений в </w:t>
      </w:r>
      <w:bookmarkEnd w:id="2"/>
      <w:r>
        <w:rPr>
          <w:sz w:val="28"/>
          <w:szCs w:val="28"/>
        </w:rPr>
        <w:t xml:space="preserve">Правила предоставления </w:t>
      </w:r>
      <w:r>
        <w:rPr>
          <w:sz w:val="28"/>
          <w:szCs w:val="28"/>
        </w:rPr>
        <w:br/>
        <w:t xml:space="preserve">из федерального бюджета иных межбюджетных трансфертов бюджетам субъектов Российской Федерации на выплату стипенд</w:t>
      </w:r>
      <w:r>
        <w:rPr>
          <w:sz w:val="28"/>
          <w:szCs w:val="28"/>
        </w:rPr>
        <w:t xml:space="preserve">ий Правительства Российской Федерации для лиц, обучающихся по очной форме обучения по основным профессиональным образовательным программам среднего профессионального образования, имеющим государственную аккредитацию, соответствующим приоритетным направлени</w:t>
      </w:r>
      <w:r>
        <w:rPr>
          <w:sz w:val="28"/>
          <w:szCs w:val="28"/>
        </w:rPr>
        <w:t xml:space="preserve">ям модернизации и технологического развития экономики Российской Федерации, в профессиональных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организациях и образовательных организациях высшего образования, являющихся казенными учреждениями, находящихся в ведении органов государственной</w:t>
      </w:r>
      <w:r>
        <w:rPr>
          <w:sz w:val="28"/>
          <w:szCs w:val="28"/>
        </w:rPr>
        <w:t xml:space="preserve"> власти субъектов Российской Федерации, и в муниципальных профессиональных образовательных организациях и образовательных организациях высшего образования, являющихся казенными учреждениями</w:t>
      </w:r>
      <w:r>
        <w:rPr>
          <w:sz w:val="28"/>
          <w:szCs w:val="28"/>
        </w:rPr>
        <w:t xml:space="preserve">»</w:t>
      </w:r>
      <w:bookmarkEnd w:id="1"/>
      <w:r>
        <w:rPr>
          <w:sz w:val="28"/>
          <w:szCs w:val="28"/>
        </w:rPr>
        <w:t xml:space="preserve"> (далее – проект постановления). 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мех</w:t>
      </w:r>
      <w:r>
        <w:rPr>
          <w:sz w:val="28"/>
          <w:szCs w:val="28"/>
        </w:rPr>
        <w:t xml:space="preserve">анизмом, установленным Положением </w:t>
      </w:r>
      <w:r>
        <w:rPr>
          <w:sz w:val="28"/>
          <w:szCs w:val="28"/>
        </w:rPr>
        <w:br/>
        <w:t xml:space="preserve">о назначении и выплате стипендий Правительства Российской Федерации для лиц, обучающихся в профессиональных образовательных организациях </w:t>
      </w:r>
      <w:r>
        <w:rPr>
          <w:sz w:val="28"/>
          <w:szCs w:val="28"/>
        </w:rPr>
        <w:br/>
        <w:t xml:space="preserve">и образовательных организациях высшего образования по очной форме обучения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</w:t>
      </w:r>
      <w:r>
        <w:rPr>
          <w:sz w:val="28"/>
          <w:szCs w:val="28"/>
        </w:rPr>
        <w:t xml:space="preserve">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утвержденным постановлением Правительств</w:t>
      </w:r>
      <w:r>
        <w:rPr>
          <w:sz w:val="28"/>
          <w:szCs w:val="28"/>
        </w:rPr>
        <w:t xml:space="preserve">а Российской Федерации от 23 декабря 2011 г</w:t>
      </w:r>
      <w:r>
        <w:rPr>
          <w:sz w:val="28"/>
          <w:szCs w:val="28"/>
        </w:rPr>
        <w:t xml:space="preserve">. № </w:t>
      </w:r>
      <w:r>
        <w:rPr>
          <w:sz w:val="28"/>
          <w:szCs w:val="28"/>
        </w:rPr>
        <w:t xml:space="preserve">1114 «О назначении и выплате стипендий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</w:t>
      </w:r>
      <w:r>
        <w:rPr>
          <w:sz w:val="28"/>
          <w:szCs w:val="28"/>
        </w:rPr>
        <w:t xml:space="preserve">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Федерации» (далее – Постановление №</w:t>
      </w:r>
      <w:r>
        <w:rPr>
          <w:sz w:val="28"/>
          <w:szCs w:val="28"/>
        </w:rPr>
        <w:t xml:space="preserve"> 1114) Минпросвещения России организует работу по назначению и выплате стипендии Правительства Российской Федерации 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 обучающихся по очной форме по имеющим государственную аккредитацию образовательным программам среднего профессионального образовани</w:t>
      </w:r>
      <w:r>
        <w:rPr>
          <w:sz w:val="28"/>
          <w:szCs w:val="28"/>
        </w:rPr>
        <w:t xml:space="preserve">я, соответствующим приоритетным направлениям модернизации и технологического развития экономики Российской Федерации посредством доведения средств через предоставления грантов в форме субсидий образовательным организациям для дальнейшей выплаты стипендиата</w:t>
      </w:r>
      <w:r>
        <w:rPr>
          <w:sz w:val="28"/>
          <w:szCs w:val="28"/>
        </w:rPr>
        <w:t xml:space="preserve">м.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sz w:val="28"/>
          <w:szCs w:val="28"/>
        </w:rPr>
        <w:br/>
        <w:t xml:space="preserve">от 9 декабря 2017 г. № 1496 «О мерах по обеспечению исполнения федерального бюджета» заключение соглашений о предоставлении субсидий осуществляется </w:t>
      </w:r>
      <w:r>
        <w:rPr>
          <w:sz w:val="28"/>
          <w:szCs w:val="28"/>
        </w:rPr>
        <w:br/>
        <w:t xml:space="preserve">не позднее 1 марта текущего финансов</w:t>
      </w:r>
      <w:r>
        <w:rPr>
          <w:sz w:val="28"/>
          <w:szCs w:val="28"/>
        </w:rPr>
        <w:t xml:space="preserve">ого года - в отношении субсидий, предусмотренных федеральным законом о федеральном бюджете, предоставление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осуществляется без проведения отбора.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№ 1114 Минпросвещения России издает ежегодно, до 1 мая, приказ о назнач</w:t>
      </w:r>
      <w:r>
        <w:rPr>
          <w:sz w:val="28"/>
          <w:szCs w:val="28"/>
        </w:rPr>
        <w:t xml:space="preserve">ении стипендий Правительства на следующий учебный год. Кроме того, Минпросвещения России не проводится отбор образовательных организаций </w:t>
      </w:r>
      <w:r>
        <w:rPr>
          <w:sz w:val="28"/>
          <w:szCs w:val="28"/>
        </w:rPr>
        <w:t xml:space="preserve">грантополучателей</w:t>
      </w:r>
      <w:r>
        <w:rPr>
          <w:sz w:val="28"/>
          <w:szCs w:val="28"/>
        </w:rPr>
        <w:t xml:space="preserve">, однако конкурс на назначение стипендии Правительства Российской Федерации проводится в два этапа на </w:t>
      </w:r>
      <w:r>
        <w:rPr>
          <w:sz w:val="28"/>
          <w:szCs w:val="28"/>
        </w:rPr>
        <w:t xml:space="preserve">уровне образовательной организации и субъекта Российской Федерации. 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предоставления информации: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15 февраля образовательные организации направляют претендентов                      в субъект Российской Федерации для проведения отбора в соответствии</w:t>
      </w:r>
      <w:r>
        <w:rPr>
          <w:sz w:val="28"/>
          <w:szCs w:val="28"/>
        </w:rPr>
        <w:t xml:space="preserve">                               с установленными критериями.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15 марта субъекты Российской Федерации направляют отобранных претендентов в Минпросвещения России.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Перенос сроков предоставления информации и издания приказа </w:t>
      </w:r>
      <w:r>
        <w:rPr>
          <w:sz w:val="28"/>
          <w:szCs w:val="28"/>
        </w:rPr>
        <w:br/>
        <w:t xml:space="preserve">не представляется возможным по при</w:t>
      </w:r>
      <w:r>
        <w:rPr>
          <w:sz w:val="28"/>
          <w:szCs w:val="28"/>
        </w:rPr>
        <w:t xml:space="preserve">чине того, что студенты 1 курсов не смогут принимать участие в отборе, так как одним из критериев является получение оценки отлично и хорошо за предыдущую промежуточную аттестацию. 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эффективности управления и оптимизации трудозатрат процессом выпла</w:t>
      </w:r>
      <w:r>
        <w:rPr>
          <w:sz w:val="28"/>
          <w:szCs w:val="28"/>
        </w:rPr>
        <w:t xml:space="preserve">т стипендии Правительства Российской Федерации проектом постановления предлагается реализовать механизм  доведения средств путем предоставления </w:t>
      </w:r>
      <w:r>
        <w:rPr>
          <w:sz w:val="28"/>
          <w:szCs w:val="28"/>
        </w:rPr>
        <w:br/>
        <w:t xml:space="preserve">из федерального бюджета иных межбюджетных трансфертов бюджетам субъектов Российской Федерации на выплату стипен</w:t>
      </w:r>
      <w:r>
        <w:rPr>
          <w:sz w:val="28"/>
          <w:szCs w:val="28"/>
        </w:rPr>
        <w:t xml:space="preserve">дий стипендиатам, обучающимся </w:t>
      </w:r>
      <w:r>
        <w:rPr>
          <w:sz w:val="28"/>
          <w:szCs w:val="28"/>
        </w:rPr>
        <w:br/>
        <w:t xml:space="preserve">в образовательных организациях, являющихся автономными, бюджетными </w:t>
      </w:r>
      <w:r>
        <w:rPr>
          <w:sz w:val="28"/>
          <w:szCs w:val="28"/>
        </w:rPr>
        <w:br/>
        <w:t xml:space="preserve">и частными учреждениями, расположенными на территории субъектов Российской Федерации.</w:t>
      </w:r>
    </w:p>
    <w:p>
      <w:pPr>
        <w:pStyle w:val="aff1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субъект Российской Федерации в рамках полномочий </w:t>
      </w:r>
      <w:r>
        <w:rPr>
          <w:sz w:val="28"/>
          <w:szCs w:val="28"/>
        </w:rPr>
        <w:br/>
        <w:t xml:space="preserve">по орг</w:t>
      </w:r>
      <w:r>
        <w:rPr>
          <w:sz w:val="28"/>
          <w:szCs w:val="28"/>
        </w:rPr>
        <w:t xml:space="preserve">анизации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  посредством нормативного регулирования, организа</w:t>
      </w:r>
      <w:r>
        <w:rPr>
          <w:sz w:val="28"/>
          <w:szCs w:val="28"/>
        </w:rPr>
        <w:t xml:space="preserve">ционного и финансового обеспечения будет владеть непосредственной информацией о деятельности образовательных организаций (автономные, бюджетные, частные), расположенных в регионе, а также в целях проведения комплексных контрольно-аналитических мероприятий.</w:t>
      </w:r>
      <w:r>
        <w:rPr>
          <w:sz w:val="28"/>
          <w:szCs w:val="28"/>
        </w:rPr>
        <w:t xml:space="preserve">  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Одновременно эффективность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управления выплат стипендии Правительства Российской Федерации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предлагаемым финансовым механизмом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субъектов Российской Федерации позволит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усилить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контроль за выплатами средств за счет непосредственного участия региона. 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Важно отметить, что стипендии направлены на социальное обеспечение обучающихся и являются публичными обязательствами Российской Федерации,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br/>
        <w:t xml:space="preserve">что предъявляет особые требования к испо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лнению обязательств в установленные сроки и к важности применения эффективного и оптимального финансового механизма с усиленным контрольным обеспечением.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Таким образом, предложение по эффективности и оптимизации финансового механизма по вып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латам стипендий обоснованно и не противоречит установленным нормам и требованиям, определенным Бюджетным законодательством Российской Федерации. </w:t>
      </w:r>
    </w:p>
    <w:p>
      <w:pPr>
        <w:spacing w:after="0" w:line="360" w:lineRule="auto"/>
        <w:ind w:firstLine="708"/>
        <w:jc w:val="both"/>
        <w:rPr>
          <w:rFonts w:ascii="Calibri" w:hAnsi="Calibri" w:eastAsia="Calibri" w:cs="Calibri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проекта постановления не окажет влияния на достижение целей государственных программ Российской Федер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ации, не повлечет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проекта постановления не требует проведения анализа правоприменительной практики, обусловившей необходимость изменения правового регулирования.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проекте постановления отсутствуют требования, которые связаны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 осуществлением предпринимательской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иной экономической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енки соответствия продукции, иных форм оценки и экспертизы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нарушение обязательных требовани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или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последствиях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несоблюдения.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42"/>
        <w:gridCol w:w="2902"/>
        <w:gridCol w:w="3320"/>
      </w:tblGrid>
      <w:tr>
        <w:trPr>
          <w:trHeight w:val="1098"/>
        </w:trPr>
        <w:tc>
          <w:tcPr>
            <w:tcW w:w="3842" w:type="dxa"/>
            <w:vAlign w:val="center"/>
          </w:tcPr>
          <w:p>
            <w:pPr>
              <w:widowControl w:val="off"/>
              <w:spacing w:after="0" w:line="276" w:lineRule="auto"/>
              <w:ind w:left="-1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Министра</w:t>
            </w:r>
          </w:p>
          <w:p>
            <w:pPr>
              <w:widowControl w:val="off"/>
              <w:spacing w:after="0" w:line="276" w:lineRule="auto"/>
              <w:ind w:left="-1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просвещения Российской Федерации</w:t>
            </w:r>
          </w:p>
        </w:tc>
        <w:tc>
          <w:tcPr>
            <w:tcW w:w="2902" w:type="dxa"/>
          </w:tcPr>
          <w:p>
            <w:pPr>
              <w:widowControl w:val="off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widowControl w:val="off"/>
              <w:tabs>
                <w:tab w:val="left" w:pos="729"/>
                <w:tab w:val="left" w:pos="1011"/>
                <w:tab w:val="left" w:pos="1153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           </w:t>
            </w:r>
          </w:p>
          <w:p>
            <w:pPr>
              <w:widowControl w:val="off"/>
              <w:tabs>
                <w:tab w:val="left" w:pos="729"/>
                <w:tab w:val="left" w:pos="1011"/>
                <w:tab w:val="left" w:pos="1153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                                      МШЭП</w:t>
            </w:r>
          </w:p>
        </w:tc>
        <w:tc>
          <w:tcPr>
            <w:tcW w:w="3320" w:type="dxa"/>
            <w:vAlign w:val="center"/>
          </w:tcPr>
          <w:p>
            <w:pPr>
              <w:widowControl w:val="off"/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Желонкин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pgSz w:w="11906" w:h="16838"/>
      <w:pgMar w:top="1134" w:right="567" w:bottom="1134" w:left="1134" w:header="567" w:footer="567" w:gutter="0"/>
      <w:cols w:space="170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libri">
    <w:panose1 w:val="020F0502020204030204"/>
  </w:font>
  <w:font w:name="PT Sans">
    <w:panose1 w:val="020B0503020203020204"/>
  </w:font>
  <w:font w:name="Noto Sans Devanagari">
    <w:panose1 w:val="020B0502040504020204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left" w:pos="3210"/>
      </w:tabs>
      <w:spacing w:after="0" w:line="360" w:lineRule="atLeast"/>
      <w:jc w:val="both"/>
      <w:rPr>
        <w:rFonts w:ascii="Times New Roman CYR" w:hAnsi="Times New Roman CYR" w:eastAsia="Times New Roman" w:cs="Times New Roman"/>
        <w:sz w:val="16"/>
        <w:szCs w:val="16"/>
      </w:rPr>
    </w:pPr>
    <w:r>
      <w:rPr>
        <w:rFonts w:ascii="Times New Roman CYR" w:hAnsi="Times New Roman CYR" w:eastAsia="Times New Roman" w:cs="Times New Roman"/>
        <w:sz w:val="16"/>
        <w:szCs w:val="16"/>
      </w:rPr>
      <w:t xml:space="preserve">Пояснительная записка – 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left" w:pos="3210"/>
      </w:tabs>
      <w:spacing w:after="0" w:line="360" w:lineRule="atLeast"/>
      <w:jc w:val="both"/>
      <w:rPr>
        <w:rFonts w:ascii="Times New Roman CYR" w:hAnsi="Times New Roman CYR" w:eastAsia="Times New Roman" w:cs="Times New Roman"/>
        <w:sz w:val="16"/>
        <w:szCs w:val="16"/>
      </w:rPr>
    </w:pPr>
    <w:r>
      <w:rPr>
        <w:rFonts w:ascii="Times New Roman CYR" w:hAnsi="Times New Roman CYR" w:eastAsia="Times New Roman" w:cs="Times New Roman"/>
        <w:sz w:val="16"/>
        <w:szCs w:val="16"/>
      </w:rPr>
      <w:t xml:space="preserve">Пояснительная записка –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973574055"/>
      <w:docPartObj>
        <w:docPartGallery w:val="Page Numbers (Top of Page)"/>
        <w:docPartUnique w:val="true"/>
      </w:docPartObj>
    </w:sdtPr>
    <w:sdtContent>
      <w:p>
        <w:pPr>
          <w:pStyle w:val="1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5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4" w:customStyle="1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character" w:styleId="23" w:customStyle="1">
    <w:name w:val="Верхний колонтитул Знак2"/>
    <w:basedOn w:val="a0"/>
    <w:link w:val="a9"/>
    <w:uiPriority w:val="99"/>
  </w:style>
  <w:style w:type="character" w:styleId="FooterChar" w:customStyle="1">
    <w:name w:val="Footer Char"/>
    <w:basedOn w:val="a0"/>
    <w:uiPriority w:val="99"/>
  </w:style>
  <w:style w:type="character" w:styleId="24" w:customStyle="1">
    <w:name w:val="Нижний колонтитул Знак2"/>
    <w:link w:val="aa"/>
    <w:uiPriority w:val="99"/>
  </w:style>
  <w:style w:type="table" w:styleId="ab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" w:customStyle="1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" w:customStyle="1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" w:customStyle="1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" w:customStyle="1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" w:customStyle="1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" w:customStyle="1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 w:customStyle="1">
    <w:name w:val="Текст выноски Знак"/>
    <w:basedOn w:val="a0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styleId="af6" w:customStyle="1">
    <w:name w:val="Верхний колонтитул Знак"/>
    <w:basedOn w:val="a0"/>
    <w:uiPriority w:val="99"/>
    <w:qFormat/>
  </w:style>
  <w:style w:type="character" w:styleId="af7">
    <w:name w:val="page number"/>
    <w:basedOn w:val="a0"/>
    <w:uiPriority w:val="99"/>
    <w:semiHidden/>
    <w:unhideWhenUsed/>
    <w:qFormat/>
  </w:style>
  <w:style w:type="character" w:styleId="af8" w:customStyle="1">
    <w:name w:val="Нижний колонтитул Знак"/>
    <w:basedOn w:val="a0"/>
    <w:uiPriority w:val="99"/>
    <w:qFormat/>
  </w:style>
  <w:style w:type="character" w:styleId="MSGENFONTSTYLENAMETEMPLATEROLENUMBERMSGENFONTSTYLENAMEBYROLETEXT2" w:customStyle="1">
    <w:name w:val="MSG_EN_FONT_STYLE_NAME_TEMPLATE_ROLE_NUMBER MSG_EN_FONT_STYLE_NAME_BY_ROLE_TEXT 2_"/>
    <w:link w:val="MSGENFONTSTYLENAMETEMPLATEROLENUMBERMSGENFONTSTYLENAMEBYROLETEXT20"/>
    <w:uiPriority w:val="99"/>
    <w:qFormat/>
    <w:rPr>
      <w:sz w:val="28"/>
      <w:szCs w:val="28"/>
      <w:shd w:val="clear" w:color="auto" w:fill="ffffff"/>
    </w:rPr>
  </w:style>
  <w:style w:type="character" w:styleId="12" w:customStyle="1">
    <w:name w:val="Верхний колонтитул Знак1"/>
    <w:basedOn w:val="a0"/>
    <w:uiPriority w:val="99"/>
    <w:qFormat/>
  </w:style>
  <w:style w:type="character" w:styleId="13" w:customStyle="1">
    <w:name w:val="Нижний колонтитул Знак1"/>
    <w:basedOn w:val="a0"/>
    <w:uiPriority w:val="99"/>
    <w:qFormat/>
  </w:style>
  <w:style w:type="character" w:styleId="HTML" w:customStyle="1">
    <w:name w:val="Стандартный HTML Знак"/>
    <w:basedOn w:val="a0"/>
    <w:link w:val="HTML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9" w:customStyle="1">
    <w:name w:val="Заголовок"/>
    <w:basedOn w:val="a"/>
    <w:next w:val="afa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Sans" w:hAnsi="PT Sans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14" w:customStyle="1">
    <w:name w:val="Заголовок1"/>
    <w:basedOn w:val="a"/>
    <w:next w:val="afa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15" w:customStyle="1">
    <w:name w:val="Название объекта1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ConsPlusTitle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zh-CN"/>
    </w:r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ff" w:customStyle="1">
    <w:name w:val="Верхний и нижний колонтитулы"/>
    <w:basedOn w:val="a"/>
    <w:qFormat/>
  </w:style>
  <w:style w:type="paragraph" w:styleId="16" w:customStyle="1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7" w:customStyle="1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Default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</w:rPr>
  </w:style>
  <w:style w:type="paragraph" w:styleId="aff0">
    <w:name w:val="No Spacing"/>
    <w:uiPriority w:val="1"/>
    <w:qFormat/>
  </w:style>
  <w:style w:type="paragraph" w:styleId="MSGENFONTSTYLENAMETEMPLATEROLENUMBERMSGENFONTSTYLENAMEBYROLETEXT20" w:customStyle="1">
    <w:name w:val="MSG_EN_FONT_STYLE_NAME_TEMPLATE_ROLE_NUMBER MSG_EN_FONT_STYLE_NAME_BY_ROLE_TEXT 2"/>
    <w:basedOn w:val="a"/>
    <w:link w:val="MSGENFONTSTYLENAMETEMPLATEROLENUMBERMSGENFONTSTYLENAMEBYROLETEXT2"/>
    <w:uiPriority w:val="99"/>
    <w:qFormat/>
    <w:pPr>
      <w:widowControl w:val="off"/>
      <w:shd w:val="clear" w:color="auto" w:fill="ffffff"/>
      <w:spacing w:before="220" w:after="0" w:line="653" w:lineRule="exact"/>
      <w:jc w:val="center"/>
    </w:pPr>
    <w:rPr>
      <w:sz w:val="28"/>
      <w:szCs w:val="28"/>
    </w:rPr>
  </w:style>
  <w:style w:type="paragraph" w:styleId="aff1">
    <w:name w:val="List Paragraph"/>
    <w:basedOn w:val="a"/>
    <w:uiPriority w:val="34"/>
    <w:qFormat/>
    <w:pPr>
      <w:widowControl w:val="off"/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HeaderandFooter" w:customStyle="1">
    <w:name w:val="Header and Footer"/>
    <w:basedOn w:val="a"/>
    <w:qFormat/>
  </w:style>
  <w:style w:type="paragraph" w:styleId="a9">
    <w:name w:val="header"/>
    <w:basedOn w:val="a"/>
    <w:link w:val="2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2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link w:val="HTM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aff2" w:customStyle="1">
    <w:name w:val="Без списка"/>
    <w:uiPriority w:val="99"/>
    <w:semiHidden/>
    <w:unhideWhenUsed/>
    <w:qFormat/>
  </w:style>
  <w:style w:type="paragraph" w:styleId="aff3" w:customStyle="1">
    <w:name w:val="Письмо"/>
    <w:basedOn w:val="9"/>
    <w:qFormat/>
    <w:pPr>
      <w:keepNext w:val="0"/>
      <w:keepLine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0" w:after="0" w:line="320" w:lineRule="exact"/>
      <w:ind w:firstLine="720"/>
      <w:jc w:val="both"/>
    </w:pPr>
    <w:rPr>
      <w:rFonts w:ascii="Times New Roman" w:hAnsi="Times New Roman" w:eastAsia="Times New Roman" w:cs="Times New Roman"/>
      <w:i w:val="0"/>
      <w:iCs w:val="0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1372-716A-4175-BE35-0BDD7C31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7057</Characters>
  <CharactersWithSpaces>8278</CharactersWithSpaces>
  <Company>SPecialiST RePack</Company>
  <DocSecurity>0</DocSecurity>
  <HyperlinksChanged>false</HyperlinksChanged>
  <Lines>58</Lines>
  <LinksUpToDate>false</LinksUpToDate>
  <Pages>5</Pages>
  <Paragraphs>16</Paragraphs>
  <ScaleCrop>false</ScaleCrop>
  <SharedDoc>false</SharedDoc>
  <Template>Normal</Template>
  <TotalTime>1</TotalTime>
  <Words>1237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ЛВ</dc:creator>
  <dc:description/>
  <dc:language>ru-RU</dc:language>
  <cp:lastModifiedBy>Сальникова Надежда Валерьевна</cp:lastModifiedBy>
  <cp:revision>37</cp:revision>
  <dcterms:created xsi:type="dcterms:W3CDTF">2025-07-07T19:36:00Z</dcterms:created>
  <dcterms:modified xsi:type="dcterms:W3CDTF">2026-03-16T14:48:00Z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