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17ACF" w14:textId="77777777" w:rsidR="004A494E" w:rsidRDefault="004A494E" w:rsidP="004A494E">
      <w:pPr>
        <w:spacing w:line="240" w:lineRule="atLeast"/>
        <w:jc w:val="center"/>
        <w:rPr>
          <w:b/>
        </w:rPr>
      </w:pPr>
      <w:r w:rsidRPr="004A494E">
        <w:rPr>
          <w:b/>
        </w:rPr>
        <w:t>ПОЯСНИТЕЛЬНАЯ ЗАПИСКА</w:t>
      </w:r>
    </w:p>
    <w:p w14:paraId="2A91311D" w14:textId="77777777" w:rsidR="004A494E" w:rsidRPr="004A494E" w:rsidRDefault="004A494E" w:rsidP="004A494E">
      <w:pPr>
        <w:spacing w:line="120" w:lineRule="exact"/>
        <w:jc w:val="center"/>
        <w:rPr>
          <w:b/>
        </w:rPr>
      </w:pPr>
    </w:p>
    <w:p w14:paraId="1F15FE2D" w14:textId="3C109C31" w:rsidR="004A494E" w:rsidRPr="00CF5894" w:rsidRDefault="004A494E" w:rsidP="004A494E">
      <w:pPr>
        <w:spacing w:line="240" w:lineRule="atLeast"/>
        <w:jc w:val="center"/>
        <w:rPr>
          <w:b/>
        </w:rPr>
      </w:pPr>
      <w:r w:rsidRPr="004A494E">
        <w:rPr>
          <w:b/>
        </w:rPr>
        <w:t xml:space="preserve">к проекту федерального закона </w:t>
      </w:r>
      <w:r w:rsidR="00CF5894" w:rsidRPr="00CF5894">
        <w:rPr>
          <w:b/>
          <w:szCs w:val="32"/>
        </w:rPr>
        <w:t>«</w:t>
      </w:r>
      <w:r w:rsidR="00CF5894" w:rsidRPr="00CF5894">
        <w:rPr>
          <w:b/>
          <w:bCs/>
          <w:szCs w:val="28"/>
        </w:rPr>
        <w:t xml:space="preserve">О внесении изменений в статьи 33.7 </w:t>
      </w:r>
      <w:r w:rsidR="00CF5894">
        <w:rPr>
          <w:b/>
          <w:bCs/>
          <w:szCs w:val="28"/>
        </w:rPr>
        <w:br/>
      </w:r>
      <w:r w:rsidR="00CF5894" w:rsidRPr="00CF5894">
        <w:rPr>
          <w:b/>
          <w:bCs/>
          <w:szCs w:val="28"/>
        </w:rPr>
        <w:t xml:space="preserve">и 33.8 Федерального закона </w:t>
      </w:r>
      <w:r w:rsidR="00CF5894" w:rsidRPr="00CF5894">
        <w:rPr>
          <w:b/>
        </w:rPr>
        <w:t>«О рыболовстве и сохранении водных биологических ресурсов»</w:t>
      </w:r>
    </w:p>
    <w:p w14:paraId="29C4D99E" w14:textId="77777777" w:rsidR="004A494E" w:rsidRDefault="004A494E" w:rsidP="004A494E">
      <w:pPr>
        <w:spacing w:line="240" w:lineRule="atLeast"/>
        <w:jc w:val="center"/>
      </w:pPr>
    </w:p>
    <w:p w14:paraId="7FDD50FF" w14:textId="77777777" w:rsidR="004A494E" w:rsidRPr="004A494E" w:rsidRDefault="004A494E" w:rsidP="004A494E">
      <w:pPr>
        <w:spacing w:line="240" w:lineRule="atLeast"/>
        <w:jc w:val="center"/>
      </w:pPr>
    </w:p>
    <w:p w14:paraId="6879353B" w14:textId="77777777" w:rsidR="007852F4" w:rsidRDefault="007852F4" w:rsidP="007852F4">
      <w:pPr>
        <w:pStyle w:val="Default"/>
      </w:pPr>
    </w:p>
    <w:p w14:paraId="0CFBF62C" w14:textId="3E417256" w:rsidR="007852F4" w:rsidRDefault="007852F4" w:rsidP="007852F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федерального закона </w:t>
      </w:r>
      <w:r w:rsidR="00CF5894" w:rsidRPr="00E90476">
        <w:rPr>
          <w:sz w:val="28"/>
          <w:szCs w:val="32"/>
        </w:rPr>
        <w:t>«</w:t>
      </w:r>
      <w:r w:rsidR="00CF5894" w:rsidRPr="00E90476">
        <w:rPr>
          <w:bCs/>
          <w:sz w:val="28"/>
          <w:szCs w:val="28"/>
        </w:rPr>
        <w:t xml:space="preserve">О внесении изменений в статьи 33.7 и 33.8 Федерального закона </w:t>
      </w:r>
      <w:r w:rsidR="00CF5894" w:rsidRPr="00E90476">
        <w:rPr>
          <w:sz w:val="28"/>
        </w:rPr>
        <w:t>«О рыболовстве и сохранении водных биологических ресурсов»</w:t>
      </w:r>
      <w:r>
        <w:rPr>
          <w:sz w:val="28"/>
          <w:szCs w:val="28"/>
        </w:rPr>
        <w:t xml:space="preserve"> (далее - Законопроект) разработан в целях создания благоприятных условий хозяйствующей деятельности российских рыбодобывающих организаций, реализующих инвестиционные проекты первого и второго этапов </w:t>
      </w:r>
      <w:r>
        <w:rPr>
          <w:sz w:val="28"/>
          <w:szCs w:val="28"/>
        </w:rPr>
        <w:br/>
        <w:t xml:space="preserve">по строительству рыбопромысловых судов в условиях возросших затрат </w:t>
      </w:r>
      <w:r>
        <w:rPr>
          <w:sz w:val="28"/>
          <w:szCs w:val="28"/>
        </w:rPr>
        <w:br/>
        <w:t xml:space="preserve">и увеличения нормативов окупаемости, возникших на фоне крупномасштабного сбоя работы судостроительных предприятий. </w:t>
      </w:r>
    </w:p>
    <w:p w14:paraId="391FB261" w14:textId="6FCC1027" w:rsidR="007852F4" w:rsidRDefault="007852F4" w:rsidP="007852F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инвестиционных проектов первого и второго этапов </w:t>
      </w:r>
      <w:r>
        <w:rPr>
          <w:sz w:val="28"/>
          <w:szCs w:val="28"/>
        </w:rPr>
        <w:br/>
        <w:t xml:space="preserve">по строительству рыбопромысловых судов компании-инвесторы столкнулись </w:t>
      </w:r>
      <w:r>
        <w:rPr>
          <w:sz w:val="28"/>
          <w:szCs w:val="28"/>
        </w:rPr>
        <w:br/>
        <w:t xml:space="preserve">с крупномасштабными сбоями в работе судостроительных предприятий </w:t>
      </w:r>
      <w:r>
        <w:rPr>
          <w:sz w:val="28"/>
          <w:szCs w:val="28"/>
        </w:rPr>
        <w:br/>
        <w:t xml:space="preserve">и резким изменением планируемых условий хозяйствования, которые вывели капиталовложения за пределы норматива окупаемости «не более 10 лет», установленного пунктом 12 Требований к </w:t>
      </w:r>
      <w:r w:rsidR="00CC0716">
        <w:rPr>
          <w:sz w:val="28"/>
          <w:szCs w:val="28"/>
        </w:rPr>
        <w:t xml:space="preserve">объектам  инвестиций </w:t>
      </w:r>
      <w:r w:rsidR="00CF5894">
        <w:rPr>
          <w:sz w:val="28"/>
          <w:szCs w:val="28"/>
        </w:rPr>
        <w:br/>
      </w:r>
      <w:r w:rsidR="00CC0716">
        <w:rPr>
          <w:sz w:val="28"/>
          <w:szCs w:val="28"/>
        </w:rPr>
        <w:t xml:space="preserve">и </w:t>
      </w:r>
      <w:r>
        <w:rPr>
          <w:sz w:val="28"/>
          <w:szCs w:val="28"/>
        </w:rPr>
        <w:t>инвестиционным</w:t>
      </w:r>
      <w:r w:rsidR="00CC0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проектам в области рыболовства, утвержденных постановлением Правительства Российской Федерации от </w:t>
      </w:r>
      <w:r w:rsidR="00CC0716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августа 2023 г. </w:t>
      </w:r>
      <w:r>
        <w:rPr>
          <w:sz w:val="28"/>
          <w:szCs w:val="28"/>
        </w:rPr>
        <w:br/>
        <w:t xml:space="preserve">№ 1287. </w:t>
      </w:r>
    </w:p>
    <w:p w14:paraId="62EFBE71" w14:textId="77777777" w:rsidR="007F0455" w:rsidRDefault="007852F4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проблемах в рыбной отрасли отмечалось в обращениях Всероссийской ассоциации рыбохозяйственных предприятий, предпринимателей </w:t>
      </w:r>
      <w:r>
        <w:rPr>
          <w:sz w:val="28"/>
          <w:szCs w:val="28"/>
        </w:rPr>
        <w:br/>
        <w:t xml:space="preserve">и экспортёров (ВАРПЭ) и Ассоциации судовладельцев рыбопромыслового флота (АСРФ). Закрытие традиционных рынков сбыта российской рыбной продукции привело к значительному снижению экспортных доходов. Ввиду санкций и ограничений на поставки судового и иного оборудования существенно увеличились сроки (до 10 лет) и стоимость (более 20%) строительства промысловых и краболовных судов на отечественных верфях. Это привело к увеличению срока окупаемости инвестиций и снижению эффективности освоения квот добычи водных биоресурсов. Резкий рост ключевой ставки Центрального Банка Российской Федерации привел </w:t>
      </w:r>
      <w:r>
        <w:rPr>
          <w:sz w:val="28"/>
          <w:szCs w:val="28"/>
        </w:rPr>
        <w:br/>
        <w:t xml:space="preserve">к кратному увеличению стоимости обслуживания инвестиционных кредитов, которые составляют основной источник привлечения инвестиций. </w:t>
      </w:r>
    </w:p>
    <w:p w14:paraId="269A7834" w14:textId="1938CD20" w:rsidR="007F0455" w:rsidRPr="007F0455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F0455">
        <w:rPr>
          <w:sz w:val="28"/>
          <w:szCs w:val="28"/>
        </w:rPr>
        <w:t xml:space="preserve">К примеру, в контракте на постройку судна типа БМРТ Виктор Гаврилов (заказчик - Колхоз им В.И. Ленина) определена первоначальная стоимость </w:t>
      </w:r>
      <w:r>
        <w:rPr>
          <w:sz w:val="28"/>
          <w:szCs w:val="28"/>
        </w:rPr>
        <w:br/>
      </w:r>
      <w:r w:rsidRPr="007F0455">
        <w:rPr>
          <w:sz w:val="28"/>
          <w:szCs w:val="28"/>
        </w:rPr>
        <w:lastRenderedPageBreak/>
        <w:t xml:space="preserve">8,5 млрд рублей, а по состоянию на I квартал 2025 года стоимость оценивалась в 12,5 млрд рублей. При этом судно находится еще в постройке и только </w:t>
      </w:r>
      <w:r>
        <w:rPr>
          <w:sz w:val="28"/>
          <w:szCs w:val="28"/>
        </w:rPr>
        <w:br/>
      </w:r>
      <w:r w:rsidRPr="007F0455">
        <w:rPr>
          <w:sz w:val="28"/>
          <w:szCs w:val="28"/>
        </w:rPr>
        <w:t xml:space="preserve">в январе 2025 года корпус судна был спущен на воду. </w:t>
      </w:r>
    </w:p>
    <w:p w14:paraId="0196C877" w14:textId="77777777" w:rsidR="007F0455" w:rsidRPr="0038447F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F0455">
        <w:rPr>
          <w:sz w:val="28"/>
          <w:szCs w:val="28"/>
        </w:rPr>
        <w:t>Другой пример, 4 постро</w:t>
      </w:r>
      <w:r>
        <w:rPr>
          <w:sz w:val="28"/>
          <w:szCs w:val="28"/>
        </w:rPr>
        <w:t xml:space="preserve">енных судна типа БМРТ (заказчик </w:t>
      </w:r>
      <w:r w:rsidRPr="007F0455">
        <w:rPr>
          <w:sz w:val="28"/>
          <w:szCs w:val="28"/>
        </w:rPr>
        <w:t xml:space="preserve">ГК «Русская </w:t>
      </w:r>
      <w:r w:rsidRPr="0038447F">
        <w:rPr>
          <w:sz w:val="28"/>
          <w:szCs w:val="28"/>
        </w:rPr>
        <w:t xml:space="preserve">рыбопромышленная компания), их стоимость с 6 млрд рублей выросла </w:t>
      </w:r>
      <w:r w:rsidRPr="0038447F">
        <w:rPr>
          <w:sz w:val="28"/>
          <w:szCs w:val="28"/>
        </w:rPr>
        <w:br/>
        <w:t xml:space="preserve">до 13 млрд рублей за единицу. </w:t>
      </w:r>
    </w:p>
    <w:p w14:paraId="0F517085" w14:textId="77777777" w:rsidR="007F0455" w:rsidRPr="0038447F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47F">
        <w:rPr>
          <w:sz w:val="28"/>
          <w:szCs w:val="28"/>
        </w:rPr>
        <w:t>По средне- и малотоннажным рыбодобывающим судам удорожание составляет порядка 30 и более процентов.</w:t>
      </w:r>
    </w:p>
    <w:p w14:paraId="464A3EF2" w14:textId="77777777" w:rsidR="007F0455" w:rsidRPr="0038447F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47F">
        <w:rPr>
          <w:sz w:val="28"/>
          <w:szCs w:val="28"/>
        </w:rPr>
        <w:t xml:space="preserve">Кроме роста стоимости строительства судов, значительно увеличилась стоимость кредитных ресурсов. Например, ставки по инвестиционным кредитам выросли с 7-10% годовых до 24-27% годовых. </w:t>
      </w:r>
    </w:p>
    <w:p w14:paraId="27572CB8" w14:textId="77777777" w:rsidR="007F0455" w:rsidRPr="0038447F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47F">
        <w:rPr>
          <w:sz w:val="28"/>
          <w:szCs w:val="28"/>
        </w:rPr>
        <w:t xml:space="preserve">В период 2023-2024 годов действовала экспортная пошлина в размере до 7 %, которая тоже влияла на операционную деятельность и на экономику инвестиционных проектов. </w:t>
      </w:r>
    </w:p>
    <w:p w14:paraId="77746B8E" w14:textId="77777777" w:rsidR="007F0455" w:rsidRPr="0038447F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47F">
        <w:rPr>
          <w:sz w:val="28"/>
          <w:szCs w:val="28"/>
        </w:rPr>
        <w:t xml:space="preserve">Кроме того, с 1 января 2023 г. действуют новые ставки сбора за пользование водными биоресурсами, в том числе и по тем видам рыб и крабов, которые отнесены инвестиционным квотам. </w:t>
      </w:r>
    </w:p>
    <w:p w14:paraId="72A03FE6" w14:textId="77777777" w:rsidR="007F0455" w:rsidRPr="0038447F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47F">
        <w:rPr>
          <w:sz w:val="28"/>
          <w:szCs w:val="28"/>
        </w:rPr>
        <w:t xml:space="preserve">С 2025 года увеличен налог на прибыль с 20% до 25%, что в будущем также будет отражаться на экономике инвестиционных проектов. </w:t>
      </w:r>
    </w:p>
    <w:p w14:paraId="7D7381BA" w14:textId="77777777" w:rsidR="007F0455" w:rsidRPr="0038447F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47F">
        <w:rPr>
          <w:sz w:val="28"/>
          <w:szCs w:val="28"/>
        </w:rPr>
        <w:t xml:space="preserve">Еще одним фактором, который невозможно было учесть при принятии решений </w:t>
      </w:r>
      <w:r w:rsidRPr="0038447F">
        <w:rPr>
          <w:sz w:val="28"/>
          <w:szCs w:val="28"/>
        </w:rPr>
        <w:br/>
        <w:t xml:space="preserve">об участии в программе инвестиционных квот, но который влияет на экономику предприятий – это дополнительные банковские и агентские комиссии, для расчетов по международным платежам, которые фактически составляет 5 процентов от суммы сделки. </w:t>
      </w:r>
    </w:p>
    <w:p w14:paraId="319C7E66" w14:textId="77777777" w:rsidR="007F0455" w:rsidRPr="0038447F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47F">
        <w:rPr>
          <w:sz w:val="28"/>
          <w:szCs w:val="28"/>
        </w:rPr>
        <w:t xml:space="preserve">В 2023–2024 годах рост издержек инвесторов совпал со значительным падением цен на рыбную продукцию на мировом рынке. </w:t>
      </w:r>
    </w:p>
    <w:p w14:paraId="14F93194" w14:textId="77777777" w:rsidR="007F0455" w:rsidRPr="0038447F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47F">
        <w:rPr>
          <w:sz w:val="28"/>
          <w:szCs w:val="28"/>
        </w:rPr>
        <w:t xml:space="preserve">В следствие влияния вышеприведенных факторов, с учетом снижения цены на продукцию и роста издержек у предприятий существенно изменилась экономика инвестиционных проектов. </w:t>
      </w:r>
    </w:p>
    <w:p w14:paraId="0F91F184" w14:textId="26DD3A80" w:rsidR="007852F4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47F">
        <w:rPr>
          <w:sz w:val="28"/>
          <w:szCs w:val="28"/>
        </w:rPr>
        <w:t>Дисконтированный срок окупаемости объектов инвестиций (включа</w:t>
      </w:r>
      <w:r w:rsidRPr="007F0455">
        <w:rPr>
          <w:sz w:val="28"/>
          <w:szCs w:val="28"/>
        </w:rPr>
        <w:t>я плату на аукционах) на момент вхождения предприятий инвесторов в программу инвестиционных квот оценивался российскими кредитными организациями в пределах 13,8 - 14 лет. На текущий момент этот срок по объективным причинам увеличился до 20 лет</w:t>
      </w:r>
      <w:r w:rsidR="007852F4">
        <w:rPr>
          <w:sz w:val="28"/>
          <w:szCs w:val="28"/>
        </w:rPr>
        <w:t xml:space="preserve">, что превышает нормативно установленный срок окупаемости инвестиционных объектов и законодательно установленный </w:t>
      </w:r>
      <w:r w:rsidR="007852F4">
        <w:rPr>
          <w:sz w:val="28"/>
          <w:szCs w:val="28"/>
        </w:rPr>
        <w:br/>
        <w:t xml:space="preserve">15-летный срок закрепления и предоставления инвестиционных квот. </w:t>
      </w:r>
    </w:p>
    <w:p w14:paraId="2EA47723" w14:textId="77777777" w:rsidR="007F0455" w:rsidRDefault="007852F4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Ряд инвесторов из-за дефицита финансовых средств не имеют возможности продолжать строительство судов без реструктуризации своих обязательств перед банками. При этом кредиторы оценивают актуальную окупаемость инвестиционных объектов и не готовы реструктурировать задолженность ввиду 15-летнего срока предоставления инвестиционных квот. </w:t>
      </w:r>
    </w:p>
    <w:p w14:paraId="5D2838D9" w14:textId="0B045186" w:rsidR="007F0455" w:rsidRPr="007F0455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F0455">
        <w:rPr>
          <w:sz w:val="28"/>
          <w:szCs w:val="28"/>
        </w:rPr>
        <w:t xml:space="preserve">В связи с этим, в целях недопущения отказа инвесторов от дальнейшей реализации проектов, законопроектом предлагается продлить срок действия договора о закреплении и предоставлении квот добычи (вылова) водных биологических ресурсов на инвестиционные цели на 20 лет. </w:t>
      </w:r>
    </w:p>
    <w:p w14:paraId="190EB35B" w14:textId="1C8F4F41" w:rsidR="007F0455" w:rsidRPr="007F0455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F0455">
        <w:rPr>
          <w:sz w:val="28"/>
          <w:szCs w:val="28"/>
        </w:rPr>
        <w:t>Вместе с тем продление срока предоставления права на добычу (вылов) крабов в инвестиционных целях, ввиду их высокой ликвидности, целесообразно осуществлять на платной основе. Законопроектом предусмотрена возможность продления срока действия договоров о закреплении и предоставлении доли квоты добычи (вылова) крабов в инвестиционных целях на 5 лет при условии взимания платы в размере, сроки и порядке, которые устанавливаются Правительством Российской Федерации.</w:t>
      </w:r>
    </w:p>
    <w:p w14:paraId="101A0344" w14:textId="1926813B" w:rsidR="007F0455" w:rsidRDefault="007F0455" w:rsidP="007F0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указанного положения позволит </w:t>
      </w:r>
      <w:bookmarkStart w:id="0" w:name="_GoBack"/>
      <w:r>
        <w:rPr>
          <w:sz w:val="28"/>
          <w:szCs w:val="28"/>
        </w:rPr>
        <w:t>получить дополнительные доходы в федеральный бюджет в размере более 100 млрд. рублей (при условии продления срока действия договоров всеми инвесторами, которым предоставлено право на добычу (вылов) крабов в инвестиционных целях)</w:t>
      </w:r>
      <w:bookmarkEnd w:id="0"/>
      <w:r>
        <w:rPr>
          <w:sz w:val="28"/>
          <w:szCs w:val="28"/>
        </w:rPr>
        <w:t>.</w:t>
      </w:r>
    </w:p>
    <w:p w14:paraId="0EE03EF3" w14:textId="77777777" w:rsidR="007852F4" w:rsidRDefault="007852F4" w:rsidP="007852F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положений Законопроекта не потребует дополнительных расходов средств федерального бюджета, не повлечет за собой изменения объема полномочий и (или) компетенции органов государственной власти субъектов Российской Федерации и (или) органов местного самоуправления и не потребует выделения дополнительных ассигнований из соответствующих бюджетов, а также уменьшения доходной части соответствующих бюджетов. </w:t>
      </w:r>
    </w:p>
    <w:p w14:paraId="4BDB9943" w14:textId="77777777" w:rsidR="007852F4" w:rsidRDefault="007852F4" w:rsidP="007852F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 соответствует положениям Договора о Евразийском экономическом союзе от 29 мая 2014 г., а также положениям иных международных договоров Российской Федерации. </w:t>
      </w:r>
    </w:p>
    <w:p w14:paraId="429386E4" w14:textId="1CF3FA8F" w:rsidR="007852F4" w:rsidRDefault="007852F4" w:rsidP="007852F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содержит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 w:rsidR="00CC0716">
        <w:rPr>
          <w:sz w:val="28"/>
          <w:szCs w:val="28"/>
        </w:rPr>
        <w:t xml:space="preserve"> (далее – обязательные требования)</w:t>
      </w:r>
      <w:r>
        <w:rPr>
          <w:sz w:val="28"/>
          <w:szCs w:val="28"/>
        </w:rPr>
        <w:t>,</w:t>
      </w:r>
      <w:r w:rsidR="00CC0716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 соответствующем виде государственного</w:t>
      </w:r>
      <w:r w:rsidR="00CC0716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="00CC0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(надзора), виде разрешительной деятельности и </w:t>
      </w:r>
      <w:r>
        <w:rPr>
          <w:sz w:val="28"/>
          <w:szCs w:val="28"/>
        </w:rPr>
        <w:lastRenderedPageBreak/>
        <w:t>предполагаемой</w:t>
      </w:r>
      <w:r w:rsidR="00CC0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ответственности за нарушение </w:t>
      </w:r>
      <w:r w:rsidR="00CC0716">
        <w:rPr>
          <w:sz w:val="28"/>
          <w:szCs w:val="28"/>
        </w:rPr>
        <w:t xml:space="preserve">обязательных </w:t>
      </w:r>
      <w:r>
        <w:rPr>
          <w:sz w:val="28"/>
          <w:szCs w:val="28"/>
        </w:rPr>
        <w:t xml:space="preserve">требований или последствиях их несоблюдения. </w:t>
      </w:r>
    </w:p>
    <w:p w14:paraId="30AAB3B8" w14:textId="016EBA7F" w:rsidR="007852F4" w:rsidRDefault="007852F4" w:rsidP="007852F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в соответствии с требованием Федерального закона </w:t>
      </w:r>
      <w:r>
        <w:rPr>
          <w:sz w:val="28"/>
          <w:szCs w:val="28"/>
        </w:rPr>
        <w:br/>
        <w:t xml:space="preserve">«Об обязательных требованиях в Российской Федерации» сроки вступления </w:t>
      </w:r>
      <w:r>
        <w:rPr>
          <w:sz w:val="28"/>
          <w:szCs w:val="28"/>
        </w:rPr>
        <w:br/>
        <w:t xml:space="preserve">в силу нормативного правового акта должны определяться исходя из сроков, необходимых органам государственной власти, гражданам и организациям </w:t>
      </w:r>
      <w:r>
        <w:rPr>
          <w:sz w:val="28"/>
          <w:szCs w:val="28"/>
        </w:rPr>
        <w:br/>
        <w:t xml:space="preserve">для подготовки к осуществлению деятельности в соответствии </w:t>
      </w:r>
      <w:r>
        <w:rPr>
          <w:sz w:val="28"/>
          <w:szCs w:val="28"/>
        </w:rPr>
        <w:br/>
        <w:t xml:space="preserve">с устанавливаемыми обязательными требованиями, вступление в силу норм, предлагаемых законопроектом, предусмотрено с 1 </w:t>
      </w:r>
      <w:r w:rsidR="007F0455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7F0455">
        <w:rPr>
          <w:sz w:val="28"/>
          <w:szCs w:val="28"/>
        </w:rPr>
        <w:t>2027</w:t>
      </w:r>
      <w:r w:rsidR="00CC0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</w:p>
    <w:p w14:paraId="1FBD59FC" w14:textId="77777777" w:rsidR="004A494E" w:rsidRPr="004A494E" w:rsidRDefault="007852F4" w:rsidP="007852F4">
      <w:pPr>
        <w:spacing w:line="276" w:lineRule="auto"/>
        <w:ind w:firstLine="709"/>
      </w:pPr>
      <w:r>
        <w:rPr>
          <w:szCs w:val="28"/>
        </w:rPr>
        <w:t xml:space="preserve">Реализация положений законопроекта не окажет влияния на достижение целей государственных программ Российской Федерации, не потребует увеличения расходной части федерального бюджета и не приведет </w:t>
      </w:r>
      <w:r w:rsidR="0071714E">
        <w:rPr>
          <w:szCs w:val="28"/>
        </w:rPr>
        <w:br/>
      </w:r>
      <w:r>
        <w:rPr>
          <w:szCs w:val="28"/>
        </w:rPr>
        <w:t>к сокращению доходной части федерального бюджета.</w:t>
      </w:r>
    </w:p>
    <w:sectPr w:rsidR="004A494E" w:rsidRPr="004A494E" w:rsidSect="007852F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737" w:bottom="993" w:left="158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6FAB1" w14:textId="77777777" w:rsidR="00E01099" w:rsidRDefault="00E01099">
      <w:r>
        <w:separator/>
      </w:r>
    </w:p>
  </w:endnote>
  <w:endnote w:type="continuationSeparator" w:id="0">
    <w:p w14:paraId="77755761" w14:textId="77777777" w:rsidR="00E01099" w:rsidRDefault="00E0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10C09" w14:textId="77777777" w:rsidR="008E7D34" w:rsidRDefault="008E7D34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C1AD5" w14:textId="77777777" w:rsidR="008E7D34" w:rsidRDefault="008E7D34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36944" w14:textId="77777777" w:rsidR="00E01099" w:rsidRDefault="00E01099">
      <w:r>
        <w:separator/>
      </w:r>
    </w:p>
  </w:footnote>
  <w:footnote w:type="continuationSeparator" w:id="0">
    <w:p w14:paraId="2045868D" w14:textId="77777777" w:rsidR="00E01099" w:rsidRDefault="00E01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295C" w14:textId="77777777" w:rsidR="008E7D34" w:rsidRDefault="008E7D34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15037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4D057" w14:textId="77777777" w:rsidR="008E7D34" w:rsidRDefault="008E7D34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E5E"/>
    <w:multiLevelType w:val="hybridMultilevel"/>
    <w:tmpl w:val="B3CE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0E3F"/>
    <w:multiLevelType w:val="hybridMultilevel"/>
    <w:tmpl w:val="618EEB24"/>
    <w:lvl w:ilvl="0" w:tplc="B360F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F7C61"/>
    <w:multiLevelType w:val="hybridMultilevel"/>
    <w:tmpl w:val="BB88F716"/>
    <w:lvl w:ilvl="0" w:tplc="B360F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F201B"/>
    <w:multiLevelType w:val="hybridMultilevel"/>
    <w:tmpl w:val="A7A84B6C"/>
    <w:lvl w:ilvl="0" w:tplc="B360F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1E"/>
    <w:rsid w:val="00001431"/>
    <w:rsid w:val="00010960"/>
    <w:rsid w:val="00016696"/>
    <w:rsid w:val="00094CAD"/>
    <w:rsid w:val="000D1934"/>
    <w:rsid w:val="000F26C7"/>
    <w:rsid w:val="00136D4F"/>
    <w:rsid w:val="00141389"/>
    <w:rsid w:val="00155CF8"/>
    <w:rsid w:val="00170C7B"/>
    <w:rsid w:val="0018754B"/>
    <w:rsid w:val="001D4C32"/>
    <w:rsid w:val="001F3637"/>
    <w:rsid w:val="00222BF3"/>
    <w:rsid w:val="00265956"/>
    <w:rsid w:val="002944D7"/>
    <w:rsid w:val="002B51EF"/>
    <w:rsid w:val="002C65A8"/>
    <w:rsid w:val="002E091E"/>
    <w:rsid w:val="00300F01"/>
    <w:rsid w:val="00313FC7"/>
    <w:rsid w:val="00363342"/>
    <w:rsid w:val="0038447F"/>
    <w:rsid w:val="003C2D3A"/>
    <w:rsid w:val="003E2722"/>
    <w:rsid w:val="003E6F19"/>
    <w:rsid w:val="003F1145"/>
    <w:rsid w:val="003F460B"/>
    <w:rsid w:val="00402B99"/>
    <w:rsid w:val="004271CA"/>
    <w:rsid w:val="00466DE4"/>
    <w:rsid w:val="004734C2"/>
    <w:rsid w:val="00496CE3"/>
    <w:rsid w:val="004A494E"/>
    <w:rsid w:val="004C5B85"/>
    <w:rsid w:val="004D3A71"/>
    <w:rsid w:val="004D5FB6"/>
    <w:rsid w:val="005039CE"/>
    <w:rsid w:val="00544EF2"/>
    <w:rsid w:val="00560401"/>
    <w:rsid w:val="00564A61"/>
    <w:rsid w:val="005C185B"/>
    <w:rsid w:val="00694D56"/>
    <w:rsid w:val="006B2327"/>
    <w:rsid w:val="0071714E"/>
    <w:rsid w:val="00723DE9"/>
    <w:rsid w:val="00775116"/>
    <w:rsid w:val="007852F4"/>
    <w:rsid w:val="007A034D"/>
    <w:rsid w:val="007B4471"/>
    <w:rsid w:val="007F0455"/>
    <w:rsid w:val="00810BA4"/>
    <w:rsid w:val="0081266B"/>
    <w:rsid w:val="00815E56"/>
    <w:rsid w:val="008219FE"/>
    <w:rsid w:val="00850D58"/>
    <w:rsid w:val="0087593A"/>
    <w:rsid w:val="008B200F"/>
    <w:rsid w:val="008B4217"/>
    <w:rsid w:val="008E6C06"/>
    <w:rsid w:val="008E7D34"/>
    <w:rsid w:val="00915037"/>
    <w:rsid w:val="00926E3E"/>
    <w:rsid w:val="009B1477"/>
    <w:rsid w:val="009B1E5E"/>
    <w:rsid w:val="00A92464"/>
    <w:rsid w:val="00AA776C"/>
    <w:rsid w:val="00AD2794"/>
    <w:rsid w:val="00AE4C57"/>
    <w:rsid w:val="00B0422C"/>
    <w:rsid w:val="00B12518"/>
    <w:rsid w:val="00B65433"/>
    <w:rsid w:val="00BC2838"/>
    <w:rsid w:val="00C06E21"/>
    <w:rsid w:val="00C47CC7"/>
    <w:rsid w:val="00C73FD7"/>
    <w:rsid w:val="00CC0716"/>
    <w:rsid w:val="00CD6313"/>
    <w:rsid w:val="00CD7729"/>
    <w:rsid w:val="00CF324E"/>
    <w:rsid w:val="00CF5894"/>
    <w:rsid w:val="00DA0E45"/>
    <w:rsid w:val="00DB58FB"/>
    <w:rsid w:val="00DC61CD"/>
    <w:rsid w:val="00E01099"/>
    <w:rsid w:val="00E302BE"/>
    <w:rsid w:val="00E424BA"/>
    <w:rsid w:val="00EC4EDC"/>
    <w:rsid w:val="00ED44A8"/>
    <w:rsid w:val="00F0011E"/>
    <w:rsid w:val="00F22112"/>
    <w:rsid w:val="00F25901"/>
    <w:rsid w:val="00FA62F4"/>
    <w:rsid w:val="00FC1CC8"/>
    <w:rsid w:val="00FC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91FFD"/>
  <w15:docId w15:val="{CEBEC9DB-DD32-433B-85A5-C6A6D637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116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table" w:styleId="a8">
    <w:name w:val="Table Grid"/>
    <w:basedOn w:val="a1"/>
    <w:rsid w:val="00926E3E"/>
    <w:pPr>
      <w:spacing w:line="240" w:lineRule="atLeast"/>
    </w:pPr>
    <w:rPr>
      <w:sz w:val="28"/>
    </w:rPr>
    <w:tblPr/>
    <w:trPr>
      <w:cantSplit/>
    </w:trPr>
  </w:style>
  <w:style w:type="paragraph" w:customStyle="1" w:styleId="ConsPlusNormal">
    <w:name w:val="ConsPlusNormal"/>
    <w:rsid w:val="004A494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A49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4A494E"/>
    <w:pPr>
      <w:widowControl w:val="0"/>
      <w:autoSpaceDE w:val="0"/>
      <w:autoSpaceDN w:val="0"/>
    </w:pPr>
    <w:rPr>
      <w:rFonts w:ascii="Tahoma" w:hAnsi="Tahoma" w:cs="Tahoma"/>
    </w:rPr>
  </w:style>
  <w:style w:type="character" w:styleId="a9">
    <w:name w:val="annotation reference"/>
    <w:basedOn w:val="a0"/>
    <w:uiPriority w:val="99"/>
    <w:unhideWhenUsed/>
    <w:rsid w:val="004A494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A494E"/>
    <w:pPr>
      <w:spacing w:after="200"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4A494E"/>
    <w:rPr>
      <w:rFonts w:asciiTheme="minorHAnsi" w:eastAsiaTheme="minorHAnsi" w:hAnsiTheme="minorHAnsi" w:cstheme="minorBidi"/>
      <w:lang w:eastAsia="en-US"/>
    </w:rPr>
  </w:style>
  <w:style w:type="paragraph" w:styleId="ac">
    <w:name w:val="annotation subject"/>
    <w:basedOn w:val="aa"/>
    <w:next w:val="aa"/>
    <w:link w:val="ad"/>
    <w:uiPriority w:val="99"/>
    <w:unhideWhenUsed/>
    <w:rsid w:val="004A494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4A494E"/>
    <w:rPr>
      <w:rFonts w:asciiTheme="minorHAnsi" w:eastAsiaTheme="minorHAnsi" w:hAnsiTheme="minorHAnsi" w:cstheme="minorBidi"/>
      <w:b/>
      <w:bCs/>
      <w:lang w:eastAsia="en-US"/>
    </w:rPr>
  </w:style>
  <w:style w:type="paragraph" w:styleId="ae">
    <w:name w:val="Balloon Text"/>
    <w:basedOn w:val="a"/>
    <w:link w:val="af"/>
    <w:uiPriority w:val="99"/>
    <w:unhideWhenUsed/>
    <w:rsid w:val="004A494E"/>
    <w:pPr>
      <w:spacing w:line="240" w:lineRule="auto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4A494E"/>
    <w:rPr>
      <w:rFonts w:ascii="Segoe UI" w:eastAsiaTheme="minorHAnsi" w:hAnsi="Segoe UI" w:cs="Segoe UI"/>
      <w:sz w:val="18"/>
      <w:szCs w:val="18"/>
      <w:lang w:eastAsia="en-US"/>
    </w:rPr>
  </w:style>
  <w:style w:type="paragraph" w:styleId="af0">
    <w:name w:val="List Paragraph"/>
    <w:basedOn w:val="a"/>
    <w:link w:val="af1"/>
    <w:uiPriority w:val="34"/>
    <w:qFormat/>
    <w:rsid w:val="004A494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4A494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4A494E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A494E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4A494E"/>
    <w:rPr>
      <w:rFonts w:ascii="Times New Roman" w:hAnsi="Times New Roman"/>
      <w:sz w:val="28"/>
    </w:rPr>
  </w:style>
  <w:style w:type="paragraph" w:customStyle="1" w:styleId="Default">
    <w:name w:val="Default"/>
    <w:rsid w:val="007852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6781</Characters>
  <Application>Microsoft Office Word</Application>
  <DocSecurity>0</DocSecurity>
  <Lines>141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Е.В.</dc:creator>
  <cp:lastModifiedBy>Новокрещенова Татьяна Викторовна</cp:lastModifiedBy>
  <cp:revision>3</cp:revision>
  <cp:lastPrinted>2025-10-20T11:53:00Z</cp:lastPrinted>
  <dcterms:created xsi:type="dcterms:W3CDTF">2026-04-22T12:35:00Z</dcterms:created>
  <dcterms:modified xsi:type="dcterms:W3CDTF">2026-04-22T13:16:00Z</dcterms:modified>
</cp:coreProperties>
</file>